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djustRightInd w:val="0"/>
        <w:snapToGrid w:val="0"/>
        <w:spacing w:before="0" w:beforeAutospacing="0" w:after="0" w:afterAutospacing="0" w:line="360" w:lineRule="auto"/>
        <w:jc w:val="center"/>
        <w:rPr>
          <w:rFonts w:ascii="黑体" w:hAnsi="黑体" w:eastAsia="黑体"/>
          <w:bCs/>
          <w:sz w:val="36"/>
          <w:szCs w:val="36"/>
        </w:rPr>
      </w:pPr>
      <w:bookmarkStart w:id="1" w:name="_GoBack"/>
      <w:r>
        <w:rPr>
          <w:rFonts w:hint="eastAsia" w:ascii="黑体" w:hAnsi="黑体" w:eastAsia="黑体"/>
          <w:bCs/>
          <w:sz w:val="36"/>
          <w:szCs w:val="36"/>
        </w:rPr>
        <w:t>第二部分 2021年部门预算表</w:t>
      </w:r>
    </w:p>
    <w:bookmarkEnd w:id="1"/>
    <w:p>
      <w:pPr>
        <w:rPr>
          <w:rFonts w:ascii="宋体" w:hAnsi="宋体" w:cs="宋体"/>
          <w:kern w:val="0"/>
          <w:sz w:val="20"/>
          <w:szCs w:val="20"/>
        </w:rPr>
      </w:pPr>
      <w:r>
        <w:rPr>
          <w:rFonts w:hint="eastAsia" w:ascii="宋体" w:hAnsi="宋体" w:cs="宋体"/>
          <w:kern w:val="0"/>
          <w:sz w:val="20"/>
          <w:szCs w:val="20"/>
        </w:rPr>
        <w:t xml:space="preserve">                                                                部门公开表1</w:t>
      </w:r>
    </w:p>
    <w:p>
      <w:pPr>
        <w:rPr>
          <w:rFonts w:ascii="华文中宋" w:hAnsi="华文中宋" w:eastAsia="华文中宋" w:cs="宋体"/>
          <w:b/>
          <w:bCs/>
          <w:kern w:val="0"/>
          <w:sz w:val="32"/>
          <w:szCs w:val="32"/>
        </w:rPr>
      </w:pPr>
      <w:r>
        <w:rPr>
          <w:rFonts w:hint="eastAsia" w:ascii="华文中宋" w:hAnsi="华文中宋" w:eastAsia="华文中宋" w:cs="宋体"/>
          <w:b/>
          <w:bCs/>
          <w:kern w:val="0"/>
          <w:sz w:val="32"/>
          <w:szCs w:val="32"/>
        </w:rPr>
        <w:t xml:space="preserve">       </w:t>
      </w:r>
      <w:r>
        <w:rPr>
          <w:rFonts w:ascii="华文中宋" w:hAnsi="华文中宋" w:eastAsia="华文中宋" w:cs="宋体"/>
          <w:b/>
          <w:bCs/>
          <w:kern w:val="0"/>
          <w:sz w:val="32"/>
          <w:szCs w:val="32"/>
        </w:rPr>
        <w:t xml:space="preserve">   </w:t>
      </w:r>
      <w:r>
        <w:rPr>
          <w:rFonts w:hint="eastAsia" w:ascii="华文中宋" w:hAnsi="华文中宋" w:eastAsia="华文中宋" w:cs="宋体"/>
          <w:b/>
          <w:bCs/>
          <w:kern w:val="0"/>
          <w:sz w:val="32"/>
          <w:szCs w:val="32"/>
        </w:rPr>
        <w:t>宿松县工商联2021年收支总表</w:t>
      </w:r>
    </w:p>
    <w:p>
      <w:pPr>
        <w:rPr>
          <w:rFonts w:ascii="宋体" w:hAnsi="宋体" w:cs="宋体"/>
          <w:kern w:val="0"/>
          <w:sz w:val="20"/>
          <w:szCs w:val="20"/>
        </w:rPr>
      </w:pPr>
      <w:r>
        <w:rPr>
          <w:rFonts w:hint="eastAsia" w:ascii="宋体" w:hAnsi="宋体" w:cs="宋体"/>
          <w:kern w:val="0"/>
          <w:sz w:val="20"/>
          <w:szCs w:val="20"/>
        </w:rPr>
        <w:t xml:space="preserve">                                                                          单位：万元</w:t>
      </w:r>
    </w:p>
    <w:tbl>
      <w:tblPr>
        <w:tblStyle w:val="5"/>
        <w:tblW w:w="8460" w:type="dxa"/>
        <w:tblInd w:w="93" w:type="dxa"/>
        <w:tblLayout w:type="fixed"/>
        <w:tblCellMar>
          <w:top w:w="0" w:type="dxa"/>
          <w:left w:w="108" w:type="dxa"/>
          <w:bottom w:w="0" w:type="dxa"/>
          <w:right w:w="108" w:type="dxa"/>
        </w:tblCellMar>
      </w:tblPr>
      <w:tblGrid>
        <w:gridCol w:w="3422"/>
        <w:gridCol w:w="998"/>
        <w:gridCol w:w="3184"/>
        <w:gridCol w:w="856"/>
      </w:tblGrid>
      <w:tr>
        <w:tblPrEx>
          <w:tblCellMar>
            <w:top w:w="0" w:type="dxa"/>
            <w:left w:w="108" w:type="dxa"/>
            <w:bottom w:w="0" w:type="dxa"/>
            <w:right w:w="108" w:type="dxa"/>
          </w:tblCellMar>
        </w:tblPrEx>
        <w:trPr>
          <w:trHeight w:val="240" w:hRule="atLeast"/>
        </w:trPr>
        <w:tc>
          <w:tcPr>
            <w:tcW w:w="44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 xml:space="preserve">          收            入             </w:t>
            </w:r>
          </w:p>
        </w:tc>
        <w:tc>
          <w:tcPr>
            <w:tcW w:w="404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支          出</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收 入 项 目</w:t>
            </w:r>
          </w:p>
        </w:tc>
        <w:tc>
          <w:tcPr>
            <w:tcW w:w="998" w:type="dxa"/>
            <w:tcBorders>
              <w:top w:val="nil"/>
              <w:left w:val="nil"/>
              <w:bottom w:val="nil"/>
              <w:right w:val="single" w:color="auto" w:sz="4" w:space="0"/>
            </w:tcBorders>
            <w:shd w:val="clear" w:color="auto" w:fill="auto"/>
            <w:noWrap/>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预算数</w:t>
            </w:r>
          </w:p>
        </w:tc>
        <w:tc>
          <w:tcPr>
            <w:tcW w:w="31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支出功能分类科目</w:t>
            </w:r>
          </w:p>
        </w:tc>
        <w:tc>
          <w:tcPr>
            <w:tcW w:w="856" w:type="dxa"/>
            <w:tcBorders>
              <w:top w:val="nil"/>
              <w:left w:val="nil"/>
              <w:bottom w:val="nil"/>
              <w:right w:val="single" w:color="auto" w:sz="4" w:space="0"/>
            </w:tcBorders>
            <w:shd w:val="clear" w:color="auto" w:fill="auto"/>
            <w:noWrap/>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预算数</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一、一般公共预算拨款收入</w:t>
            </w: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kern w:val="0"/>
                <w:sz w:val="22"/>
              </w:rPr>
              <w:t>90.45</w:t>
            </w: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一、一般公共服务支出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kern w:val="0"/>
                <w:sz w:val="22"/>
              </w:rPr>
              <w:t>90.45</w:t>
            </w: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w:t>
            </w:r>
            <w:r>
              <w:rPr>
                <w:rFonts w:hint="eastAsia" w:ascii="宋体" w:hAnsi="宋体" w:eastAsia="宋体" w:cs="宋体"/>
                <w:color w:val="000000" w:themeColor="text1"/>
                <w:kern w:val="0"/>
                <w:sz w:val="20"/>
                <w:szCs w:val="20"/>
                <w14:textFill>
                  <w14:solidFill>
                    <w14:schemeClr w14:val="tx1"/>
                  </w14:solidFill>
                </w14:textFill>
              </w:rPr>
              <w:t xml:space="preserve">  其中：上级转移支付收入</w:t>
            </w:r>
          </w:p>
        </w:tc>
        <w:tc>
          <w:tcPr>
            <w:tcW w:w="998"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二、外交支出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三、国防支出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二、政府性基金预算拨款收入</w:t>
            </w:r>
          </w:p>
        </w:tc>
        <w:tc>
          <w:tcPr>
            <w:tcW w:w="99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四、公共安全支出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        其中：上级转移支付收入</w:t>
            </w:r>
          </w:p>
        </w:tc>
        <w:tc>
          <w:tcPr>
            <w:tcW w:w="998"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五、教育支出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998"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六、科学技术支出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三、国有资本经营预算拨款收入</w:t>
            </w:r>
          </w:p>
        </w:tc>
        <w:tc>
          <w:tcPr>
            <w:tcW w:w="99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七、文化旅游体育与传媒支出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       其中：上级转移支付收入</w:t>
            </w:r>
          </w:p>
        </w:tc>
        <w:tc>
          <w:tcPr>
            <w:tcW w:w="998"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八、社会保障和就业支出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998"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九、卫生健康支出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四、财政专户管理资金收入</w:t>
            </w:r>
          </w:p>
        </w:tc>
        <w:tc>
          <w:tcPr>
            <w:tcW w:w="99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十、节能环保支出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99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十一、城乡社区支出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五、单位资金收入</w:t>
            </w:r>
          </w:p>
        </w:tc>
        <w:tc>
          <w:tcPr>
            <w:tcW w:w="99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十二、农林水支出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        其中：事业收入</w:t>
            </w:r>
          </w:p>
        </w:tc>
        <w:tc>
          <w:tcPr>
            <w:tcW w:w="99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十三、交通运输支出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              事业单位经营收入</w:t>
            </w:r>
          </w:p>
        </w:tc>
        <w:tc>
          <w:tcPr>
            <w:tcW w:w="99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十四、资源勘探工业信息等支出</w:t>
            </w:r>
          </w:p>
        </w:tc>
        <w:tc>
          <w:tcPr>
            <w:tcW w:w="856"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              上级补助收入</w:t>
            </w:r>
          </w:p>
        </w:tc>
        <w:tc>
          <w:tcPr>
            <w:tcW w:w="99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十五、商业服务业等支出</w:t>
            </w:r>
          </w:p>
        </w:tc>
        <w:tc>
          <w:tcPr>
            <w:tcW w:w="856"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              附属单位上缴收入</w:t>
            </w:r>
          </w:p>
        </w:tc>
        <w:tc>
          <w:tcPr>
            <w:tcW w:w="99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十六、金融支出</w:t>
            </w:r>
          </w:p>
        </w:tc>
        <w:tc>
          <w:tcPr>
            <w:tcW w:w="856"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              其他收入</w:t>
            </w:r>
          </w:p>
        </w:tc>
        <w:tc>
          <w:tcPr>
            <w:tcW w:w="99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十七、援助其他地区支出</w:t>
            </w:r>
          </w:p>
        </w:tc>
        <w:tc>
          <w:tcPr>
            <w:tcW w:w="856"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十八、自然资源海洋气象等支出</w:t>
            </w:r>
          </w:p>
        </w:tc>
        <w:tc>
          <w:tcPr>
            <w:tcW w:w="856"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十九、住房保障支出</w:t>
            </w:r>
          </w:p>
        </w:tc>
        <w:tc>
          <w:tcPr>
            <w:tcW w:w="856"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二十、粮油物资储备支出</w:t>
            </w:r>
          </w:p>
        </w:tc>
        <w:tc>
          <w:tcPr>
            <w:tcW w:w="856"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二十一、灾害防治及应急管理支出</w:t>
            </w:r>
          </w:p>
        </w:tc>
        <w:tc>
          <w:tcPr>
            <w:tcW w:w="85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9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二十二、预备费</w:t>
            </w:r>
          </w:p>
        </w:tc>
        <w:tc>
          <w:tcPr>
            <w:tcW w:w="85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9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二十三、其他支出</w:t>
            </w:r>
          </w:p>
        </w:tc>
        <w:tc>
          <w:tcPr>
            <w:tcW w:w="85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9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二十四、转移性支出</w:t>
            </w:r>
          </w:p>
        </w:tc>
        <w:tc>
          <w:tcPr>
            <w:tcW w:w="85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二十五、债务还本支出</w:t>
            </w:r>
          </w:p>
        </w:tc>
        <w:tc>
          <w:tcPr>
            <w:tcW w:w="85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二十六、债务付息支出</w:t>
            </w:r>
          </w:p>
        </w:tc>
        <w:tc>
          <w:tcPr>
            <w:tcW w:w="85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二十七、债务发行费用支出</w:t>
            </w:r>
          </w:p>
        </w:tc>
        <w:tc>
          <w:tcPr>
            <w:tcW w:w="85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  年  收  入  小  计</w:t>
            </w:r>
          </w:p>
        </w:tc>
        <w:tc>
          <w:tcPr>
            <w:tcW w:w="99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kern w:val="0"/>
                <w:sz w:val="22"/>
              </w:rPr>
              <w:t>90.45</w:t>
            </w: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  年  支  出  小  计</w:t>
            </w:r>
          </w:p>
        </w:tc>
        <w:tc>
          <w:tcPr>
            <w:tcW w:w="85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kern w:val="0"/>
                <w:sz w:val="22"/>
              </w:rPr>
              <w:t>90.45</w:t>
            </w: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上年结转结余</w:t>
            </w:r>
          </w:p>
        </w:tc>
        <w:tc>
          <w:tcPr>
            <w:tcW w:w="99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年终结转结余</w:t>
            </w:r>
          </w:p>
        </w:tc>
        <w:tc>
          <w:tcPr>
            <w:tcW w:w="85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一般公共预算</w:t>
            </w:r>
          </w:p>
        </w:tc>
        <w:tc>
          <w:tcPr>
            <w:tcW w:w="99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一般公共预算</w:t>
            </w:r>
          </w:p>
        </w:tc>
        <w:tc>
          <w:tcPr>
            <w:tcW w:w="85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政府性基金预算</w:t>
            </w:r>
          </w:p>
        </w:tc>
        <w:tc>
          <w:tcPr>
            <w:tcW w:w="99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政府性基金预算</w:t>
            </w:r>
          </w:p>
        </w:tc>
        <w:tc>
          <w:tcPr>
            <w:tcW w:w="85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国有资本经营预算</w:t>
            </w:r>
          </w:p>
        </w:tc>
        <w:tc>
          <w:tcPr>
            <w:tcW w:w="998"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国有资本经营预算</w:t>
            </w:r>
          </w:p>
        </w:tc>
        <w:tc>
          <w:tcPr>
            <w:tcW w:w="85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财政专户管理资金</w:t>
            </w:r>
          </w:p>
        </w:tc>
        <w:tc>
          <w:tcPr>
            <w:tcW w:w="998"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财政专户管理资金</w:t>
            </w:r>
          </w:p>
        </w:tc>
        <w:tc>
          <w:tcPr>
            <w:tcW w:w="85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单位资金</w:t>
            </w:r>
          </w:p>
        </w:tc>
        <w:tc>
          <w:tcPr>
            <w:tcW w:w="998"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单位资金</w:t>
            </w:r>
          </w:p>
        </w:tc>
        <w:tc>
          <w:tcPr>
            <w:tcW w:w="85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   入   总   计</w:t>
            </w:r>
          </w:p>
        </w:tc>
        <w:tc>
          <w:tcPr>
            <w:tcW w:w="998"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kern w:val="0"/>
                <w:sz w:val="22"/>
              </w:rPr>
              <w:t>90.45</w:t>
            </w:r>
            <w:r>
              <w:rPr>
                <w:rFonts w:hint="eastAsia" w:ascii="宋体" w:hAnsi="宋体" w:eastAsia="宋体" w:cs="宋体"/>
                <w:kern w:val="0"/>
                <w:sz w:val="18"/>
                <w:szCs w:val="18"/>
              </w:rPr>
              <w:t>　</w:t>
            </w:r>
          </w:p>
        </w:tc>
        <w:tc>
          <w:tcPr>
            <w:tcW w:w="31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支　出  总　计</w:t>
            </w:r>
          </w:p>
        </w:tc>
        <w:tc>
          <w:tcPr>
            <w:tcW w:w="85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kern w:val="0"/>
                <w:sz w:val="22"/>
              </w:rPr>
              <w:t>90.45</w:t>
            </w:r>
            <w:r>
              <w:rPr>
                <w:rFonts w:hint="eastAsia" w:ascii="宋体" w:hAnsi="宋体" w:eastAsia="宋体" w:cs="宋体"/>
                <w:kern w:val="0"/>
                <w:sz w:val="20"/>
                <w:szCs w:val="20"/>
              </w:rPr>
              <w:t>　</w:t>
            </w:r>
          </w:p>
        </w:tc>
      </w:tr>
    </w:tbl>
    <w:p>
      <w:pPr>
        <w:rPr>
          <w:rFonts w:ascii="宋体" w:hAnsi="宋体" w:cs="宋体"/>
          <w:kern w:val="0"/>
          <w:sz w:val="20"/>
          <w:szCs w:val="20"/>
        </w:rPr>
        <w:sectPr>
          <w:footerReference r:id="rId3" w:type="default"/>
          <w:pgSz w:w="11906" w:h="16838"/>
          <w:pgMar w:top="1440" w:right="1800" w:bottom="1440" w:left="1800" w:header="851" w:footer="992" w:gutter="0"/>
          <w:cols w:space="425" w:num="1"/>
          <w:docGrid w:type="lines" w:linePitch="312" w:charSpace="0"/>
        </w:sectPr>
      </w:pPr>
    </w:p>
    <w:p>
      <w:pPr>
        <w:rPr>
          <w:rFonts w:ascii="宋体" w:hAnsi="宋体" w:cs="宋体"/>
          <w:kern w:val="0"/>
          <w:sz w:val="20"/>
          <w:szCs w:val="20"/>
        </w:rPr>
      </w:pPr>
      <w:r>
        <w:rPr>
          <w:rFonts w:hint="eastAsia" w:ascii="宋体" w:hAnsi="宋体" w:cs="宋体"/>
          <w:kern w:val="0"/>
          <w:sz w:val="20"/>
          <w:szCs w:val="20"/>
        </w:rPr>
        <w:t xml:space="preserve">                                                                                                                    部门公开表2</w:t>
      </w:r>
    </w:p>
    <w:p>
      <w:pPr>
        <w:rPr>
          <w:rFonts w:ascii="华文中宋" w:hAnsi="华文中宋" w:eastAsia="华文中宋" w:cs="宋体"/>
          <w:b/>
          <w:bCs/>
          <w:kern w:val="0"/>
          <w:sz w:val="32"/>
          <w:szCs w:val="32"/>
        </w:rPr>
      </w:pPr>
      <w:r>
        <w:rPr>
          <w:rFonts w:hint="eastAsia" w:ascii="华文中宋" w:hAnsi="华文中宋" w:eastAsia="华文中宋" w:cs="宋体"/>
          <w:b/>
          <w:bCs/>
          <w:kern w:val="0"/>
          <w:sz w:val="32"/>
          <w:szCs w:val="32"/>
        </w:rPr>
        <w:t xml:space="preserve">                   宿松县工商联2021年收入总表</w:t>
      </w:r>
    </w:p>
    <w:p>
      <w:pPr>
        <w:rPr>
          <w:rFonts w:ascii="宋体" w:hAnsi="宋体" w:cs="宋体"/>
          <w:kern w:val="0"/>
          <w:sz w:val="20"/>
          <w:szCs w:val="20"/>
        </w:rPr>
      </w:pPr>
      <w:r>
        <w:rPr>
          <w:rFonts w:hint="eastAsia" w:ascii="宋体" w:hAnsi="宋体" w:cs="宋体"/>
          <w:kern w:val="0"/>
          <w:sz w:val="20"/>
          <w:szCs w:val="20"/>
        </w:rPr>
        <w:t xml:space="preserve">                                                                                                                                 单位：万元</w:t>
      </w:r>
    </w:p>
    <w:tbl>
      <w:tblPr>
        <w:tblStyle w:val="5"/>
        <w:tblW w:w="14020" w:type="dxa"/>
        <w:tblInd w:w="100" w:type="dxa"/>
        <w:tblLayout w:type="fixed"/>
        <w:tblCellMar>
          <w:top w:w="0" w:type="dxa"/>
          <w:left w:w="108" w:type="dxa"/>
          <w:bottom w:w="0" w:type="dxa"/>
          <w:right w:w="108" w:type="dxa"/>
        </w:tblCellMar>
      </w:tblPr>
      <w:tblGrid>
        <w:gridCol w:w="1790"/>
        <w:gridCol w:w="885"/>
        <w:gridCol w:w="825"/>
        <w:gridCol w:w="840"/>
        <w:gridCol w:w="450"/>
        <w:gridCol w:w="390"/>
        <w:gridCol w:w="680"/>
        <w:gridCol w:w="680"/>
        <w:gridCol w:w="680"/>
        <w:gridCol w:w="680"/>
        <w:gridCol w:w="680"/>
        <w:gridCol w:w="680"/>
        <w:gridCol w:w="680"/>
        <w:gridCol w:w="680"/>
        <w:gridCol w:w="680"/>
        <w:gridCol w:w="680"/>
        <w:gridCol w:w="680"/>
        <w:gridCol w:w="680"/>
        <w:gridCol w:w="680"/>
      </w:tblGrid>
      <w:tr>
        <w:tblPrEx>
          <w:tblCellMar>
            <w:top w:w="0" w:type="dxa"/>
            <w:left w:w="108" w:type="dxa"/>
            <w:bottom w:w="0" w:type="dxa"/>
            <w:right w:w="108" w:type="dxa"/>
          </w:tblCellMar>
        </w:tblPrEx>
        <w:trPr>
          <w:trHeight w:val="420" w:hRule="atLeast"/>
        </w:trPr>
        <w:tc>
          <w:tcPr>
            <w:tcW w:w="17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部门（单位）名称</w:t>
            </w:r>
          </w:p>
        </w:tc>
        <w:tc>
          <w:tcPr>
            <w:tcW w:w="8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合计</w:t>
            </w:r>
          </w:p>
        </w:tc>
        <w:tc>
          <w:tcPr>
            <w:tcW w:w="7265" w:type="dxa"/>
            <w:gridSpan w:val="11"/>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本年收入</w:t>
            </w:r>
          </w:p>
        </w:tc>
        <w:tc>
          <w:tcPr>
            <w:tcW w:w="408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上年结转结余</w:t>
            </w:r>
          </w:p>
        </w:tc>
      </w:tr>
      <w:tr>
        <w:tblPrEx>
          <w:tblCellMar>
            <w:top w:w="0" w:type="dxa"/>
            <w:left w:w="108" w:type="dxa"/>
            <w:bottom w:w="0" w:type="dxa"/>
            <w:right w:w="108" w:type="dxa"/>
          </w:tblCellMar>
        </w:tblPrEx>
        <w:trPr>
          <w:trHeight w:val="420" w:hRule="atLeast"/>
        </w:trPr>
        <w:tc>
          <w:tcPr>
            <w:tcW w:w="17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color w:val="000000"/>
                <w:kern w:val="0"/>
                <w:sz w:val="20"/>
                <w:szCs w:val="20"/>
              </w:rPr>
            </w:pPr>
          </w:p>
        </w:tc>
        <w:tc>
          <w:tcPr>
            <w:tcW w:w="8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color w:val="000000"/>
                <w:kern w:val="0"/>
                <w:sz w:val="20"/>
                <w:szCs w:val="20"/>
              </w:rPr>
            </w:pPr>
          </w:p>
        </w:tc>
        <w:tc>
          <w:tcPr>
            <w:tcW w:w="825"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小计</w:t>
            </w:r>
          </w:p>
        </w:tc>
        <w:tc>
          <w:tcPr>
            <w:tcW w:w="84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一般公共预算</w:t>
            </w:r>
          </w:p>
        </w:tc>
        <w:tc>
          <w:tcPr>
            <w:tcW w:w="45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政府性基金预算</w:t>
            </w:r>
          </w:p>
        </w:tc>
        <w:tc>
          <w:tcPr>
            <w:tcW w:w="39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国有资本经营预算</w:t>
            </w:r>
          </w:p>
        </w:tc>
        <w:tc>
          <w:tcPr>
            <w:tcW w:w="6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财政专户管理资金</w:t>
            </w:r>
          </w:p>
        </w:tc>
        <w:tc>
          <w:tcPr>
            <w:tcW w:w="4080"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单位资金</w:t>
            </w:r>
          </w:p>
        </w:tc>
        <w:tc>
          <w:tcPr>
            <w:tcW w:w="68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小计</w:t>
            </w:r>
          </w:p>
        </w:tc>
        <w:tc>
          <w:tcPr>
            <w:tcW w:w="68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一般公共预算</w:t>
            </w:r>
          </w:p>
        </w:tc>
        <w:tc>
          <w:tcPr>
            <w:tcW w:w="68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政府性基金预算</w:t>
            </w:r>
          </w:p>
        </w:tc>
        <w:tc>
          <w:tcPr>
            <w:tcW w:w="68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国有资本经营预算</w:t>
            </w:r>
          </w:p>
        </w:tc>
        <w:tc>
          <w:tcPr>
            <w:tcW w:w="68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财政专户管理资金</w:t>
            </w:r>
          </w:p>
        </w:tc>
        <w:tc>
          <w:tcPr>
            <w:tcW w:w="68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单位资金</w:t>
            </w:r>
          </w:p>
        </w:tc>
      </w:tr>
      <w:tr>
        <w:tblPrEx>
          <w:tblCellMar>
            <w:top w:w="0" w:type="dxa"/>
            <w:left w:w="108" w:type="dxa"/>
            <w:bottom w:w="0" w:type="dxa"/>
            <w:right w:w="108" w:type="dxa"/>
          </w:tblCellMar>
        </w:tblPrEx>
        <w:trPr>
          <w:trHeight w:val="825" w:hRule="atLeast"/>
        </w:trPr>
        <w:tc>
          <w:tcPr>
            <w:tcW w:w="17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8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825"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0"/>
                <w:szCs w:val="20"/>
              </w:rPr>
            </w:pPr>
          </w:p>
        </w:tc>
        <w:tc>
          <w:tcPr>
            <w:tcW w:w="84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0"/>
                <w:szCs w:val="20"/>
              </w:rPr>
            </w:pPr>
          </w:p>
        </w:tc>
        <w:tc>
          <w:tcPr>
            <w:tcW w:w="45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0"/>
                <w:szCs w:val="20"/>
              </w:rPr>
            </w:pPr>
          </w:p>
        </w:tc>
        <w:tc>
          <w:tcPr>
            <w:tcW w:w="39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小计</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事业     收入</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事业单位经营收入</w:t>
            </w:r>
          </w:p>
        </w:tc>
        <w:tc>
          <w:tcPr>
            <w:tcW w:w="680"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上级补助收入</w:t>
            </w:r>
          </w:p>
        </w:tc>
        <w:tc>
          <w:tcPr>
            <w:tcW w:w="680"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附属单位上缴收入</w:t>
            </w:r>
          </w:p>
        </w:tc>
        <w:tc>
          <w:tcPr>
            <w:tcW w:w="680"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其他   收入</w:t>
            </w:r>
          </w:p>
        </w:tc>
        <w:tc>
          <w:tcPr>
            <w:tcW w:w="68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0"/>
                <w:szCs w:val="20"/>
              </w:rPr>
            </w:pPr>
          </w:p>
        </w:tc>
        <w:tc>
          <w:tcPr>
            <w:tcW w:w="68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0"/>
                <w:szCs w:val="20"/>
              </w:rPr>
            </w:pPr>
          </w:p>
        </w:tc>
        <w:tc>
          <w:tcPr>
            <w:tcW w:w="68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0"/>
                <w:szCs w:val="20"/>
              </w:rPr>
            </w:pPr>
          </w:p>
        </w:tc>
        <w:tc>
          <w:tcPr>
            <w:tcW w:w="68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0"/>
                <w:szCs w:val="20"/>
              </w:rPr>
            </w:pPr>
          </w:p>
        </w:tc>
        <w:tc>
          <w:tcPr>
            <w:tcW w:w="68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0"/>
                <w:szCs w:val="20"/>
              </w:rPr>
            </w:pPr>
          </w:p>
        </w:tc>
        <w:tc>
          <w:tcPr>
            <w:tcW w:w="68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60" w:hRule="atLeast"/>
        </w:trPr>
        <w:tc>
          <w:tcPr>
            <w:tcW w:w="179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工商联部门</w:t>
            </w: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kern w:val="0"/>
                <w:sz w:val="22"/>
              </w:rPr>
              <w:t>90.45</w:t>
            </w:r>
            <w:r>
              <w:rPr>
                <w:rFonts w:hint="eastAsia" w:ascii="宋体" w:hAnsi="宋体" w:eastAsia="宋体" w:cs="宋体"/>
                <w:color w:val="000000"/>
                <w:kern w:val="0"/>
                <w:sz w:val="20"/>
                <w:szCs w:val="20"/>
              </w:rPr>
              <w:t>　</w:t>
            </w:r>
          </w:p>
        </w:tc>
        <w:tc>
          <w:tcPr>
            <w:tcW w:w="82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kern w:val="0"/>
                <w:sz w:val="22"/>
              </w:rPr>
              <w:t>90.45</w:t>
            </w:r>
            <w:r>
              <w:rPr>
                <w:rFonts w:hint="eastAsia" w:ascii="宋体" w:hAnsi="宋体" w:eastAsia="宋体" w:cs="宋体"/>
                <w:color w:val="000000"/>
                <w:kern w:val="0"/>
                <w:sz w:val="20"/>
                <w:szCs w:val="20"/>
              </w:rPr>
              <w:t>　</w:t>
            </w:r>
          </w:p>
        </w:tc>
        <w:tc>
          <w:tcPr>
            <w:tcW w:w="84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kern w:val="0"/>
                <w:sz w:val="22"/>
              </w:rPr>
              <w:t>90.45</w:t>
            </w:r>
            <w:r>
              <w:rPr>
                <w:rFonts w:hint="eastAsia" w:ascii="宋体" w:hAnsi="宋体" w:eastAsia="宋体" w:cs="宋体"/>
                <w:color w:val="000000"/>
                <w:kern w:val="0"/>
                <w:sz w:val="20"/>
                <w:szCs w:val="20"/>
              </w:rPr>
              <w:t>　</w:t>
            </w:r>
          </w:p>
        </w:tc>
        <w:tc>
          <w:tcPr>
            <w:tcW w:w="45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9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60" w:hRule="atLeast"/>
        </w:trPr>
        <w:tc>
          <w:tcPr>
            <w:tcW w:w="179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工商联部门本级</w:t>
            </w: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kern w:val="0"/>
                <w:sz w:val="22"/>
              </w:rPr>
              <w:t>90.45</w:t>
            </w:r>
            <w:r>
              <w:rPr>
                <w:rFonts w:hint="eastAsia" w:ascii="宋体" w:hAnsi="宋体" w:eastAsia="宋体" w:cs="宋体"/>
                <w:color w:val="000000"/>
                <w:kern w:val="0"/>
                <w:sz w:val="20"/>
                <w:szCs w:val="20"/>
              </w:rPr>
              <w:t>　</w:t>
            </w:r>
          </w:p>
        </w:tc>
        <w:tc>
          <w:tcPr>
            <w:tcW w:w="8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kern w:val="0"/>
                <w:sz w:val="22"/>
              </w:rPr>
              <w:t>90.45</w:t>
            </w:r>
            <w:r>
              <w:rPr>
                <w:rFonts w:hint="eastAsia" w:ascii="宋体" w:hAnsi="宋体" w:eastAsia="宋体" w:cs="宋体"/>
                <w:color w:val="000000"/>
                <w:kern w:val="0"/>
                <w:sz w:val="20"/>
                <w:szCs w:val="20"/>
              </w:rPr>
              <w:t>　</w:t>
            </w:r>
          </w:p>
        </w:tc>
        <w:tc>
          <w:tcPr>
            <w:tcW w:w="8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kern w:val="0"/>
                <w:sz w:val="22"/>
              </w:rPr>
              <w:t>90.45</w:t>
            </w:r>
            <w:r>
              <w:rPr>
                <w:rFonts w:hint="eastAsia" w:ascii="宋体" w:hAnsi="宋体" w:eastAsia="宋体" w:cs="宋体"/>
                <w:color w:val="000000"/>
                <w:kern w:val="0"/>
                <w:sz w:val="20"/>
                <w:szCs w:val="20"/>
              </w:rPr>
              <w:t>　</w:t>
            </w:r>
          </w:p>
        </w:tc>
        <w:tc>
          <w:tcPr>
            <w:tcW w:w="4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9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60" w:hRule="atLeast"/>
        </w:trPr>
        <w:tc>
          <w:tcPr>
            <w:tcW w:w="179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9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60" w:hRule="atLeast"/>
        </w:trPr>
        <w:tc>
          <w:tcPr>
            <w:tcW w:w="179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9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60" w:hRule="atLeast"/>
        </w:trPr>
        <w:tc>
          <w:tcPr>
            <w:tcW w:w="179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9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60" w:hRule="atLeast"/>
        </w:trPr>
        <w:tc>
          <w:tcPr>
            <w:tcW w:w="179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9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60" w:hRule="atLeast"/>
        </w:trPr>
        <w:tc>
          <w:tcPr>
            <w:tcW w:w="179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9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60" w:hRule="atLeast"/>
        </w:trPr>
        <w:tc>
          <w:tcPr>
            <w:tcW w:w="179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9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60" w:hRule="atLeast"/>
        </w:trPr>
        <w:tc>
          <w:tcPr>
            <w:tcW w:w="17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9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bl>
    <w:p>
      <w:pPr>
        <w:rPr>
          <w:rFonts w:ascii="宋体" w:hAnsi="宋体" w:cs="宋体"/>
          <w:kern w:val="0"/>
          <w:sz w:val="20"/>
          <w:szCs w:val="20"/>
        </w:rPr>
      </w:pPr>
    </w:p>
    <w:p>
      <w:pPr>
        <w:sectPr>
          <w:pgSz w:w="16838" w:h="11906" w:orient="landscape"/>
          <w:pgMar w:top="1797" w:right="1440" w:bottom="1797" w:left="1440" w:header="851" w:footer="992" w:gutter="0"/>
          <w:cols w:space="425" w:num="1"/>
          <w:docGrid w:type="linesAndChars" w:linePitch="312" w:charSpace="0"/>
        </w:sectPr>
      </w:pPr>
    </w:p>
    <w:p>
      <w:pPr>
        <w:rPr>
          <w:rFonts w:ascii="宋体" w:hAnsi="宋体" w:cs="宋体"/>
          <w:kern w:val="0"/>
          <w:sz w:val="20"/>
          <w:szCs w:val="20"/>
        </w:rPr>
      </w:pPr>
      <w:r>
        <w:rPr>
          <w:rFonts w:hint="eastAsia" w:ascii="宋体" w:hAnsi="宋体" w:cs="宋体"/>
          <w:kern w:val="0"/>
          <w:sz w:val="20"/>
          <w:szCs w:val="20"/>
        </w:rPr>
        <w:t xml:space="preserve">                                                               </w:t>
      </w:r>
      <w:r>
        <w:rPr>
          <w:rFonts w:ascii="宋体" w:hAnsi="宋体" w:cs="宋体"/>
          <w:kern w:val="0"/>
          <w:sz w:val="20"/>
          <w:szCs w:val="20"/>
        </w:rPr>
        <w:t xml:space="preserve">   </w:t>
      </w:r>
      <w:r>
        <w:rPr>
          <w:rFonts w:hint="eastAsia" w:ascii="宋体" w:hAnsi="宋体" w:cs="宋体"/>
          <w:kern w:val="0"/>
          <w:sz w:val="20"/>
          <w:szCs w:val="20"/>
        </w:rPr>
        <w:t xml:space="preserve"> 部门公开表3</w:t>
      </w:r>
    </w:p>
    <w:p>
      <w:pPr>
        <w:rPr>
          <w:rFonts w:ascii="华文中宋" w:hAnsi="华文中宋" w:eastAsia="华文中宋" w:cs="宋体"/>
          <w:b/>
          <w:bCs/>
          <w:kern w:val="0"/>
          <w:sz w:val="32"/>
          <w:szCs w:val="32"/>
        </w:rPr>
      </w:pPr>
      <w:r>
        <w:rPr>
          <w:rFonts w:hint="eastAsia" w:ascii="华文中宋" w:hAnsi="华文中宋" w:eastAsia="华文中宋" w:cs="宋体"/>
          <w:b/>
          <w:bCs/>
          <w:kern w:val="0"/>
          <w:sz w:val="32"/>
          <w:szCs w:val="32"/>
        </w:rPr>
        <w:t xml:space="preserve">          宿松县工商联2021年支出总表</w:t>
      </w:r>
    </w:p>
    <w:p>
      <w:pPr>
        <w:ind w:left="7400" w:hanging="7400" w:hangingChars="3700"/>
        <w:rPr>
          <w:rFonts w:ascii="宋体" w:hAnsi="宋体" w:cs="宋体"/>
          <w:kern w:val="0"/>
          <w:sz w:val="20"/>
          <w:szCs w:val="20"/>
        </w:rPr>
      </w:pPr>
      <w:r>
        <w:rPr>
          <w:rFonts w:hint="eastAsia" w:ascii="宋体" w:hAnsi="宋体" w:cs="宋体"/>
          <w:kern w:val="0"/>
          <w:sz w:val="20"/>
          <w:szCs w:val="20"/>
        </w:rPr>
        <w:t xml:space="preserve">                                                                                                                             单位：万元</w:t>
      </w:r>
    </w:p>
    <w:tbl>
      <w:tblPr>
        <w:tblStyle w:val="5"/>
        <w:tblW w:w="8931" w:type="dxa"/>
        <w:tblInd w:w="-34" w:type="dxa"/>
        <w:tblLayout w:type="fixed"/>
        <w:tblCellMar>
          <w:top w:w="0" w:type="dxa"/>
          <w:left w:w="108" w:type="dxa"/>
          <w:bottom w:w="0" w:type="dxa"/>
          <w:right w:w="108" w:type="dxa"/>
        </w:tblCellMar>
      </w:tblPr>
      <w:tblGrid>
        <w:gridCol w:w="1135"/>
        <w:gridCol w:w="1984"/>
        <w:gridCol w:w="992"/>
        <w:gridCol w:w="851"/>
        <w:gridCol w:w="850"/>
        <w:gridCol w:w="1134"/>
        <w:gridCol w:w="993"/>
        <w:gridCol w:w="992"/>
      </w:tblGrid>
      <w:tr>
        <w:tblPrEx>
          <w:tblCellMar>
            <w:top w:w="0" w:type="dxa"/>
            <w:left w:w="108" w:type="dxa"/>
            <w:bottom w:w="0" w:type="dxa"/>
            <w:right w:w="108" w:type="dxa"/>
          </w:tblCellMar>
        </w:tblPrEx>
        <w:trPr>
          <w:trHeight w:val="690"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基本支出</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项目支出</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事业单位经营支出</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上缴上级支出</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对附属单位补助支出</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w:t>
            </w:r>
          </w:p>
        </w:tc>
        <w:tc>
          <w:tcPr>
            <w:tcW w:w="1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一般公共服务支出</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kern w:val="0"/>
                <w:sz w:val="22"/>
              </w:rPr>
              <w:t>90.45</w:t>
            </w:r>
            <w:r>
              <w:rPr>
                <w:rFonts w:hint="eastAsia" w:ascii="宋体" w:hAnsi="宋体" w:eastAsia="宋体" w:cs="宋体"/>
                <w:color w:val="000000"/>
                <w:kern w:val="0"/>
                <w:sz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kern w:val="0"/>
                <w:sz w:val="22"/>
              </w:rPr>
              <w:t>90.45</w:t>
            </w:r>
            <w:r>
              <w:rPr>
                <w:rFonts w:hint="eastAsia" w:ascii="宋体" w:hAnsi="宋体" w:eastAsia="宋体" w:cs="宋体"/>
                <w:color w:val="000000"/>
                <w:kern w:val="0"/>
                <w:sz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22"/>
              </w:rPr>
            </w:pPr>
            <w:r>
              <w:rPr>
                <w:rFonts w:hint="eastAsia" w:ascii="宋体" w:hAnsi="宋体"/>
                <w:kern w:val="0"/>
                <w:sz w:val="22"/>
              </w:rPr>
              <w:t xml:space="preserve"> 20128</w:t>
            </w:r>
          </w:p>
        </w:tc>
        <w:tc>
          <w:tcPr>
            <w:tcW w:w="1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22"/>
              </w:rPr>
            </w:pPr>
            <w:r>
              <w:rPr>
                <w:rFonts w:hint="eastAsia" w:ascii="宋体" w:hAnsi="宋体"/>
                <w:kern w:val="0"/>
                <w:sz w:val="22"/>
              </w:rPr>
              <w:t>民主党派及工商联事务</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kern w:val="0"/>
                <w:sz w:val="22"/>
              </w:rPr>
              <w:t>90.45</w:t>
            </w:r>
            <w:r>
              <w:rPr>
                <w:rFonts w:hint="eastAsia" w:ascii="宋体" w:hAnsi="宋体" w:eastAsia="宋体" w:cs="宋体"/>
                <w:color w:val="000000"/>
                <w:kern w:val="0"/>
                <w:sz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kern w:val="0"/>
                <w:sz w:val="22"/>
              </w:rPr>
              <w:t>90.45</w:t>
            </w:r>
            <w:r>
              <w:rPr>
                <w:rFonts w:hint="eastAsia" w:ascii="宋体" w:hAnsi="宋体" w:eastAsia="宋体" w:cs="宋体"/>
                <w:color w:val="000000"/>
                <w:kern w:val="0"/>
                <w:sz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22"/>
              </w:rPr>
            </w:pPr>
            <w:r>
              <w:rPr>
                <w:rFonts w:hint="eastAsia" w:ascii="宋体" w:hAnsi="宋体"/>
                <w:kern w:val="0"/>
                <w:sz w:val="22"/>
              </w:rPr>
              <w:t xml:space="preserve"> </w:t>
            </w:r>
            <w:r>
              <w:rPr>
                <w:rFonts w:ascii="宋体" w:hAnsi="宋体"/>
                <w:kern w:val="0"/>
                <w:sz w:val="22"/>
              </w:rPr>
              <w:t>2</w:t>
            </w:r>
            <w:r>
              <w:rPr>
                <w:rFonts w:hint="eastAsia" w:ascii="宋体" w:hAnsi="宋体"/>
                <w:kern w:val="0"/>
                <w:sz w:val="22"/>
              </w:rPr>
              <w:t>012801</w:t>
            </w:r>
          </w:p>
        </w:tc>
        <w:tc>
          <w:tcPr>
            <w:tcW w:w="1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22"/>
              </w:rPr>
            </w:pPr>
            <w:r>
              <w:rPr>
                <w:rFonts w:hint="eastAsia" w:ascii="宋体" w:hAnsi="宋体"/>
                <w:kern w:val="0"/>
                <w:sz w:val="22"/>
              </w:rPr>
              <w:t> </w:t>
            </w:r>
            <w:r>
              <w:rPr>
                <w:rFonts w:ascii="宋体" w:hAnsi="宋体"/>
                <w:kern w:val="0"/>
                <w:sz w:val="22"/>
              </w:rPr>
              <w:t xml:space="preserve"> </w:t>
            </w:r>
            <w:r>
              <w:rPr>
                <w:rFonts w:hint="eastAsia" w:ascii="宋体" w:hAnsi="宋体"/>
                <w:kern w:val="0"/>
                <w:sz w:val="22"/>
              </w:rPr>
              <w:t>行政运行</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kern w:val="0"/>
                <w:sz w:val="22"/>
              </w:rPr>
              <w:t>90.45</w:t>
            </w:r>
            <w:r>
              <w:rPr>
                <w:rFonts w:hint="eastAsia" w:ascii="宋体" w:hAnsi="宋体" w:eastAsia="宋体" w:cs="宋体"/>
                <w:color w:val="000000"/>
                <w:kern w:val="0"/>
                <w:sz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kern w:val="0"/>
                <w:sz w:val="22"/>
              </w:rPr>
              <w:t>90.45</w:t>
            </w:r>
            <w:r>
              <w:rPr>
                <w:rFonts w:hint="eastAsia" w:ascii="宋体" w:hAnsi="宋体" w:eastAsia="宋体" w:cs="宋体"/>
                <w:color w:val="000000"/>
                <w:kern w:val="0"/>
                <w:sz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p>
        </w:tc>
        <w:tc>
          <w:tcPr>
            <w:tcW w:w="1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 xml:space="preserve">    合      计</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kern w:val="0"/>
                <w:sz w:val="22"/>
              </w:rPr>
              <w:t>90.45</w:t>
            </w:r>
            <w:r>
              <w:rPr>
                <w:rFonts w:hint="eastAsia" w:ascii="宋体" w:hAnsi="宋体" w:eastAsia="宋体" w:cs="宋体"/>
                <w:color w:val="000000"/>
                <w:kern w:val="0"/>
                <w:sz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kern w:val="0"/>
                <w:sz w:val="22"/>
              </w:rPr>
              <w:t>90.45</w:t>
            </w:r>
            <w:r>
              <w:rPr>
                <w:rFonts w:hint="eastAsia" w:ascii="宋体" w:hAnsi="宋体" w:eastAsia="宋体" w:cs="宋体"/>
                <w:color w:val="000000"/>
                <w:kern w:val="0"/>
                <w:sz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bl>
    <w:p/>
    <w:p/>
    <w:p/>
    <w:p/>
    <w:p/>
    <w:p/>
    <w:p/>
    <w:p/>
    <w:p/>
    <w:p/>
    <w:p/>
    <w:p/>
    <w:p/>
    <w:p/>
    <w:p/>
    <w:p/>
    <w:p/>
    <w:p/>
    <w:p/>
    <w:p/>
    <w:p/>
    <w:p>
      <w:pPr>
        <w:rPr>
          <w:rFonts w:ascii="宋体" w:hAnsi="宋体" w:cs="宋体"/>
          <w:kern w:val="0"/>
          <w:sz w:val="20"/>
          <w:szCs w:val="20"/>
        </w:rPr>
      </w:pPr>
      <w:r>
        <w:rPr>
          <w:rFonts w:hint="eastAsia" w:ascii="宋体" w:hAnsi="宋体" w:cs="宋体"/>
          <w:kern w:val="0"/>
          <w:sz w:val="20"/>
          <w:szCs w:val="20"/>
        </w:rPr>
        <w:t xml:space="preserve">                                                               部门公开表4</w:t>
      </w:r>
    </w:p>
    <w:p>
      <w:pPr>
        <w:widowControl/>
        <w:ind w:firstLine="1441" w:firstLineChars="450"/>
        <w:rPr>
          <w:rFonts w:ascii="华文中宋" w:hAnsi="华文中宋" w:eastAsia="华文中宋" w:cs="宋体"/>
          <w:b/>
          <w:bCs/>
          <w:kern w:val="0"/>
          <w:sz w:val="30"/>
          <w:szCs w:val="30"/>
        </w:rPr>
      </w:pPr>
      <w:r>
        <w:rPr>
          <w:rFonts w:hint="eastAsia" w:ascii="华文中宋" w:hAnsi="华文中宋" w:eastAsia="华文中宋" w:cs="宋体"/>
          <w:b/>
          <w:bCs/>
          <w:kern w:val="0"/>
          <w:sz w:val="32"/>
          <w:szCs w:val="32"/>
        </w:rPr>
        <w:t>宿松县工商联</w:t>
      </w:r>
      <w:r>
        <w:rPr>
          <w:rFonts w:hint="eastAsia" w:ascii="华文中宋" w:hAnsi="华文中宋" w:eastAsia="华文中宋" w:cs="宋体"/>
          <w:b/>
          <w:bCs/>
          <w:kern w:val="0"/>
          <w:sz w:val="30"/>
          <w:szCs w:val="30"/>
        </w:rPr>
        <w:t>2021年财政拨款收支总表</w:t>
      </w:r>
    </w:p>
    <w:p>
      <w:pPr>
        <w:ind w:left="7400" w:hanging="7400" w:hangingChars="3700"/>
        <w:rPr>
          <w:rFonts w:ascii="宋体" w:hAnsi="宋体" w:cs="宋体"/>
          <w:kern w:val="0"/>
          <w:sz w:val="20"/>
          <w:szCs w:val="20"/>
        </w:rPr>
      </w:pPr>
      <w:r>
        <w:rPr>
          <w:rFonts w:hint="eastAsia" w:ascii="宋体" w:hAnsi="宋体" w:cs="宋体"/>
          <w:kern w:val="0"/>
          <w:sz w:val="20"/>
          <w:szCs w:val="20"/>
        </w:rPr>
        <w:t xml:space="preserve">                                                                          单位：万元</w:t>
      </w:r>
    </w:p>
    <w:tbl>
      <w:tblPr>
        <w:tblStyle w:val="5"/>
        <w:tblW w:w="8340" w:type="dxa"/>
        <w:tblInd w:w="93" w:type="dxa"/>
        <w:tblLayout w:type="fixed"/>
        <w:tblCellMar>
          <w:top w:w="0" w:type="dxa"/>
          <w:left w:w="108" w:type="dxa"/>
          <w:bottom w:w="0" w:type="dxa"/>
          <w:right w:w="108" w:type="dxa"/>
        </w:tblCellMar>
      </w:tblPr>
      <w:tblGrid>
        <w:gridCol w:w="2718"/>
        <w:gridCol w:w="1059"/>
        <w:gridCol w:w="3468"/>
        <w:gridCol w:w="1095"/>
      </w:tblGrid>
      <w:tr>
        <w:tblPrEx>
          <w:tblCellMar>
            <w:top w:w="0" w:type="dxa"/>
            <w:left w:w="108" w:type="dxa"/>
            <w:bottom w:w="0" w:type="dxa"/>
            <w:right w:w="108" w:type="dxa"/>
          </w:tblCellMar>
        </w:tblPrEx>
        <w:trPr>
          <w:trHeight w:val="319" w:hRule="atLeast"/>
        </w:trPr>
        <w:tc>
          <w:tcPr>
            <w:tcW w:w="37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收      入</w:t>
            </w:r>
          </w:p>
        </w:tc>
        <w:tc>
          <w:tcPr>
            <w:tcW w:w="456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支      出</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预算数</w:t>
            </w:r>
          </w:p>
        </w:tc>
        <w:tc>
          <w:tcPr>
            <w:tcW w:w="3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w:t>
            </w:r>
          </w:p>
        </w:tc>
        <w:tc>
          <w:tcPr>
            <w:tcW w:w="10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预算数</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一、本年收入</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kern w:val="0"/>
                <w:sz w:val="22"/>
              </w:rPr>
              <w:t>90.45</w:t>
            </w: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一、本年支出</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kern w:val="0"/>
                <w:sz w:val="22"/>
              </w:rPr>
              <w:t>90.45</w:t>
            </w: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（一）一般公共预算拨款</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kern w:val="0"/>
                <w:sz w:val="22"/>
              </w:rPr>
              <w:t>90.45</w:t>
            </w: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（一）一般公共服务支出</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kern w:val="0"/>
                <w:sz w:val="22"/>
              </w:rPr>
              <w:t>90.45</w:t>
            </w: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（二）政府性基金预算拨款</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（二）外交支出</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（三）国有资本经营预算拨款</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（三）国防支出</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（四）公共安全支出</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二、上年结转</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（五）教育支出</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（一）一般公共预算拨款</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（六）科学技术支出</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（二）政府性基金预算拨款</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（七）文化旅游体育与传媒支出</w:t>
            </w:r>
          </w:p>
        </w:tc>
        <w:tc>
          <w:tcPr>
            <w:tcW w:w="1095"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（三）国有资本经营预算拨款</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（八）社会保障和就业支出</w:t>
            </w:r>
          </w:p>
        </w:tc>
        <w:tc>
          <w:tcPr>
            <w:tcW w:w="1095"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（九）卫生健康支出</w:t>
            </w:r>
          </w:p>
        </w:tc>
        <w:tc>
          <w:tcPr>
            <w:tcW w:w="1095"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（十）节能环保支出</w:t>
            </w:r>
          </w:p>
        </w:tc>
        <w:tc>
          <w:tcPr>
            <w:tcW w:w="1095"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（十一）城乡社区支出</w:t>
            </w:r>
          </w:p>
        </w:tc>
        <w:tc>
          <w:tcPr>
            <w:tcW w:w="1095"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（十二）农林水支出</w:t>
            </w:r>
          </w:p>
        </w:tc>
        <w:tc>
          <w:tcPr>
            <w:tcW w:w="1095"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（十三）交通运输支出</w:t>
            </w:r>
          </w:p>
        </w:tc>
        <w:tc>
          <w:tcPr>
            <w:tcW w:w="1095"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（十四）资源勘探工业信息等支出</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（十五）商业服务业等支出</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（十六）金融支出</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（十七）援助其他地区支出</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（十八）自然资源海洋气象等支出</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（十九）住房保障支出</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（二十）粮油物资储备支出</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（二十一）灾害防治及应急管理支出</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（二十二）预备费</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（二十三）其他支出</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（二十四）转移性支出</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（二十五）债务还本支出</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（二十六）债务付息支出</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（二十七）债务发行费用支出</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二、年终结转结余</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（一）一般公共预算结转结余</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（二）政府性基金预算结转结余</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（三）国有资本经营预算结转结余</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收    入    总    计</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kern w:val="0"/>
                <w:sz w:val="22"/>
              </w:rPr>
              <w:t>90.45</w:t>
            </w: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支    出    总    计</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kern w:val="0"/>
                <w:sz w:val="22"/>
              </w:rPr>
              <w:t>90.45</w:t>
            </w:r>
            <w:r>
              <w:rPr>
                <w:rFonts w:hint="eastAsia" w:ascii="宋体" w:hAnsi="宋体" w:eastAsia="宋体" w:cs="宋体"/>
                <w:color w:val="000000"/>
                <w:kern w:val="0"/>
                <w:sz w:val="20"/>
                <w:szCs w:val="20"/>
              </w:rPr>
              <w:t>　</w:t>
            </w:r>
          </w:p>
        </w:tc>
      </w:tr>
    </w:tbl>
    <w:p>
      <w:pPr>
        <w:ind w:firstLine="6300" w:firstLineChars="3150"/>
        <w:rPr>
          <w:rFonts w:ascii="宋体" w:hAnsi="宋体" w:cs="宋体"/>
          <w:kern w:val="0"/>
          <w:sz w:val="20"/>
          <w:szCs w:val="20"/>
        </w:rPr>
      </w:pPr>
    </w:p>
    <w:p>
      <w:pPr>
        <w:rPr>
          <w:rFonts w:ascii="宋体" w:hAnsi="宋体" w:cs="宋体"/>
          <w:kern w:val="0"/>
          <w:sz w:val="20"/>
          <w:szCs w:val="20"/>
        </w:rPr>
      </w:pPr>
    </w:p>
    <w:p>
      <w:pPr>
        <w:ind w:firstLine="6900" w:firstLineChars="3450"/>
        <w:rPr>
          <w:rFonts w:ascii="宋体" w:hAnsi="宋体" w:cs="宋体"/>
          <w:kern w:val="0"/>
          <w:sz w:val="20"/>
          <w:szCs w:val="20"/>
        </w:rPr>
      </w:pPr>
      <w:r>
        <w:rPr>
          <w:rFonts w:hint="eastAsia" w:ascii="宋体" w:hAnsi="宋体" w:cs="宋体"/>
          <w:kern w:val="0"/>
          <w:sz w:val="20"/>
          <w:szCs w:val="20"/>
        </w:rPr>
        <w:t>部门开表5</w:t>
      </w:r>
    </w:p>
    <w:p>
      <w:pPr>
        <w:widowControl/>
        <w:jc w:val="center"/>
        <w:rPr>
          <w:rFonts w:ascii="华文中宋" w:hAnsi="华文中宋" w:eastAsia="华文中宋" w:cs="宋体"/>
          <w:b/>
          <w:bCs/>
          <w:kern w:val="0"/>
          <w:sz w:val="28"/>
          <w:szCs w:val="28"/>
        </w:rPr>
      </w:pPr>
      <w:r>
        <w:rPr>
          <w:rFonts w:hint="eastAsia" w:ascii="华文中宋" w:hAnsi="华文中宋" w:eastAsia="华文中宋" w:cs="宋体"/>
          <w:b/>
          <w:bCs/>
          <w:kern w:val="0"/>
          <w:sz w:val="32"/>
          <w:szCs w:val="32"/>
        </w:rPr>
        <w:t xml:space="preserve">   宿松县工商联</w:t>
      </w:r>
      <w:r>
        <w:rPr>
          <w:rFonts w:hint="eastAsia" w:ascii="华文中宋" w:hAnsi="华文中宋" w:eastAsia="华文中宋" w:cs="宋体"/>
          <w:b/>
          <w:bCs/>
          <w:kern w:val="0"/>
          <w:sz w:val="28"/>
          <w:szCs w:val="28"/>
        </w:rPr>
        <w:t>2021年一般公共预算支出表</w:t>
      </w:r>
    </w:p>
    <w:p>
      <w:pPr>
        <w:ind w:left="7400" w:hanging="7400" w:hangingChars="3700"/>
        <w:rPr>
          <w:rFonts w:ascii="宋体" w:hAnsi="宋体" w:cs="宋体"/>
          <w:kern w:val="0"/>
          <w:sz w:val="20"/>
          <w:szCs w:val="20"/>
        </w:rPr>
      </w:pPr>
      <w:r>
        <w:rPr>
          <w:rFonts w:hint="eastAsia" w:ascii="宋体" w:hAnsi="宋体" w:cs="宋体"/>
          <w:kern w:val="0"/>
          <w:sz w:val="20"/>
          <w:szCs w:val="20"/>
        </w:rPr>
        <w:t xml:space="preserve">                                                                          单位：万元</w:t>
      </w:r>
    </w:p>
    <w:tbl>
      <w:tblPr>
        <w:tblStyle w:val="5"/>
        <w:tblW w:w="9080" w:type="dxa"/>
        <w:tblInd w:w="100" w:type="dxa"/>
        <w:tblLayout w:type="fixed"/>
        <w:tblCellMar>
          <w:top w:w="0" w:type="dxa"/>
          <w:left w:w="108" w:type="dxa"/>
          <w:bottom w:w="0" w:type="dxa"/>
          <w:right w:w="108" w:type="dxa"/>
        </w:tblCellMar>
      </w:tblPr>
      <w:tblGrid>
        <w:gridCol w:w="1231"/>
        <w:gridCol w:w="2225"/>
        <w:gridCol w:w="1124"/>
        <w:gridCol w:w="1125"/>
        <w:gridCol w:w="1125"/>
        <w:gridCol w:w="1125"/>
        <w:gridCol w:w="1125"/>
      </w:tblGrid>
      <w:tr>
        <w:tblPrEx>
          <w:tblCellMar>
            <w:top w:w="0" w:type="dxa"/>
            <w:left w:w="108" w:type="dxa"/>
            <w:bottom w:w="0" w:type="dxa"/>
            <w:right w:w="108" w:type="dxa"/>
          </w:tblCellMar>
        </w:tblPrEx>
        <w:trPr>
          <w:trHeight w:val="360" w:hRule="atLeast"/>
        </w:trPr>
        <w:tc>
          <w:tcPr>
            <w:tcW w:w="1231"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2225"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112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337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基本支出</w:t>
            </w:r>
          </w:p>
        </w:tc>
        <w:tc>
          <w:tcPr>
            <w:tcW w:w="1125"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项目支出</w:t>
            </w:r>
          </w:p>
        </w:tc>
      </w:tr>
      <w:tr>
        <w:tblPrEx>
          <w:tblCellMar>
            <w:top w:w="0" w:type="dxa"/>
            <w:left w:w="108" w:type="dxa"/>
            <w:bottom w:w="0" w:type="dxa"/>
            <w:right w:w="108" w:type="dxa"/>
          </w:tblCellMar>
        </w:tblPrEx>
        <w:trPr>
          <w:trHeight w:val="360" w:hRule="atLeast"/>
        </w:trPr>
        <w:tc>
          <w:tcPr>
            <w:tcW w:w="1231"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b/>
                <w:bCs/>
                <w:color w:val="000000"/>
                <w:kern w:val="0"/>
                <w:sz w:val="22"/>
              </w:rPr>
            </w:pPr>
          </w:p>
        </w:tc>
        <w:tc>
          <w:tcPr>
            <w:tcW w:w="2225"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b/>
                <w:bCs/>
                <w:color w:val="000000"/>
                <w:kern w:val="0"/>
                <w:sz w:val="22"/>
              </w:rPr>
            </w:pPr>
          </w:p>
        </w:tc>
        <w:tc>
          <w:tcPr>
            <w:tcW w:w="112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2"/>
              </w:rPr>
            </w:pP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小计</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人员经费</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公用经费</w:t>
            </w:r>
          </w:p>
        </w:tc>
        <w:tc>
          <w:tcPr>
            <w:tcW w:w="1125"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b/>
                <w:bCs/>
                <w:color w:val="000000"/>
                <w:kern w:val="0"/>
                <w:sz w:val="22"/>
              </w:rPr>
            </w:pPr>
          </w:p>
        </w:tc>
      </w:tr>
      <w:tr>
        <w:tblPrEx>
          <w:tblCellMar>
            <w:top w:w="0" w:type="dxa"/>
            <w:left w:w="108" w:type="dxa"/>
            <w:bottom w:w="0" w:type="dxa"/>
            <w:right w:w="108" w:type="dxa"/>
          </w:tblCellMar>
        </w:tblPrEx>
        <w:trPr>
          <w:trHeight w:val="360" w:hRule="atLeast"/>
        </w:trPr>
        <w:tc>
          <w:tcPr>
            <w:tcW w:w="1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w:t>
            </w:r>
          </w:p>
        </w:tc>
        <w:tc>
          <w:tcPr>
            <w:tcW w:w="22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一般公共服务支出</w:t>
            </w: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kern w:val="0"/>
                <w:sz w:val="22"/>
              </w:rPr>
              <w:t>90.45</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kern w:val="0"/>
                <w:sz w:val="22"/>
              </w:rPr>
              <w:t>90.45</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49.80</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40.65　</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22"/>
              </w:rPr>
            </w:pPr>
            <w:r>
              <w:rPr>
                <w:rFonts w:hint="eastAsia" w:ascii="宋体" w:hAnsi="宋体"/>
                <w:kern w:val="0"/>
                <w:sz w:val="22"/>
              </w:rPr>
              <w:t xml:space="preserve"> 20128</w:t>
            </w:r>
          </w:p>
        </w:tc>
        <w:tc>
          <w:tcPr>
            <w:tcW w:w="22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22"/>
              </w:rPr>
            </w:pPr>
            <w:r>
              <w:rPr>
                <w:rFonts w:hint="eastAsia" w:ascii="宋体" w:hAnsi="宋体"/>
                <w:kern w:val="0"/>
                <w:sz w:val="22"/>
              </w:rPr>
              <w:t> 民主党派及工商联事务</w:t>
            </w: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kern w:val="0"/>
                <w:sz w:val="22"/>
              </w:rPr>
              <w:t>90.45</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kern w:val="0"/>
                <w:sz w:val="22"/>
              </w:rPr>
              <w:t>90.45</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49.80</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40.65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w:t>
            </w:r>
            <w:r>
              <w:rPr>
                <w:rFonts w:ascii="宋体" w:hAnsi="宋体" w:eastAsia="宋体" w:cs="宋体"/>
                <w:color w:val="000000"/>
                <w:kern w:val="0"/>
                <w:sz w:val="22"/>
              </w:rPr>
              <w:t>28</w:t>
            </w:r>
            <w:r>
              <w:rPr>
                <w:rFonts w:hint="eastAsia" w:ascii="宋体" w:hAnsi="宋体" w:eastAsia="宋体" w:cs="宋体"/>
                <w:color w:val="000000"/>
                <w:kern w:val="0"/>
                <w:sz w:val="22"/>
              </w:rPr>
              <w:t>01</w:t>
            </w:r>
          </w:p>
        </w:tc>
        <w:tc>
          <w:tcPr>
            <w:tcW w:w="22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        行政运行</w:t>
            </w: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kern w:val="0"/>
                <w:sz w:val="22"/>
              </w:rPr>
              <w:t>90.45</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kern w:val="0"/>
                <w:sz w:val="22"/>
              </w:rPr>
              <w:t>90.45</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49.80</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40.65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p>
        </w:tc>
        <w:tc>
          <w:tcPr>
            <w:tcW w:w="22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p>
        </w:tc>
        <w:tc>
          <w:tcPr>
            <w:tcW w:w="22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         　</w:t>
            </w: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         　</w:t>
            </w: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         　</w:t>
            </w: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22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 xml:space="preserve">    合      计</w:t>
            </w: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kern w:val="0"/>
                <w:sz w:val="22"/>
              </w:rPr>
              <w:t>90.45</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kern w:val="0"/>
                <w:sz w:val="22"/>
              </w:rPr>
              <w:t>90.45</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49.80</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40.65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CellMar>
            <w:top w:w="0" w:type="dxa"/>
            <w:left w:w="108" w:type="dxa"/>
            <w:bottom w:w="0" w:type="dxa"/>
            <w:right w:w="108" w:type="dxa"/>
          </w:tblCellMar>
        </w:tblPrEx>
        <w:trPr>
          <w:trHeight w:val="360" w:hRule="atLeast"/>
        </w:trPr>
        <w:tc>
          <w:tcPr>
            <w:tcW w:w="1231" w:type="dxa"/>
          </w:tcPr>
          <w:p>
            <w:pPr>
              <w:widowControl/>
              <w:jc w:val="left"/>
              <w:rPr>
                <w:rFonts w:ascii="宋体" w:hAnsi="宋体" w:eastAsia="宋体" w:cs="宋体"/>
                <w:b/>
                <w:bCs/>
                <w:color w:val="000000"/>
                <w:kern w:val="0"/>
                <w:sz w:val="22"/>
              </w:rPr>
            </w:pPr>
          </w:p>
        </w:tc>
        <w:tc>
          <w:tcPr>
            <w:tcW w:w="2225" w:type="dxa"/>
          </w:tcPr>
          <w:p>
            <w:pPr>
              <w:widowControl/>
              <w:jc w:val="left"/>
              <w:rPr>
                <w:rFonts w:ascii="宋体" w:hAnsi="宋体" w:eastAsia="宋体" w:cs="宋体"/>
                <w:b/>
                <w:bCs/>
                <w:color w:val="000000"/>
                <w:kern w:val="0"/>
                <w:sz w:val="22"/>
              </w:rPr>
            </w:pPr>
          </w:p>
        </w:tc>
        <w:tc>
          <w:tcPr>
            <w:tcW w:w="1124" w:type="dxa"/>
            <w:vAlign w:val="center"/>
          </w:tcPr>
          <w:p>
            <w:pPr>
              <w:widowControl/>
              <w:jc w:val="left"/>
              <w:rPr>
                <w:rFonts w:ascii="宋体" w:hAnsi="宋体" w:eastAsia="宋体" w:cs="宋体"/>
                <w:color w:val="000000"/>
                <w:kern w:val="0"/>
                <w:sz w:val="22"/>
              </w:rPr>
            </w:pPr>
          </w:p>
        </w:tc>
        <w:tc>
          <w:tcPr>
            <w:tcW w:w="1125" w:type="dxa"/>
            <w:vAlign w:val="center"/>
          </w:tcPr>
          <w:p>
            <w:pPr>
              <w:widowControl/>
              <w:jc w:val="center"/>
              <w:rPr>
                <w:rFonts w:ascii="宋体" w:hAnsi="宋体" w:eastAsia="宋体" w:cs="宋体"/>
                <w:color w:val="000000"/>
                <w:kern w:val="0"/>
                <w:sz w:val="22"/>
              </w:rPr>
            </w:pPr>
          </w:p>
        </w:tc>
        <w:tc>
          <w:tcPr>
            <w:tcW w:w="1125" w:type="dxa"/>
          </w:tcPr>
          <w:p>
            <w:pPr>
              <w:widowControl/>
              <w:jc w:val="right"/>
              <w:rPr>
                <w:rFonts w:ascii="宋体" w:hAnsi="宋体" w:eastAsia="宋体" w:cs="宋体"/>
                <w:b/>
                <w:bCs/>
                <w:color w:val="000000"/>
                <w:kern w:val="0"/>
                <w:sz w:val="22"/>
              </w:rPr>
            </w:pPr>
          </w:p>
        </w:tc>
        <w:tc>
          <w:tcPr>
            <w:tcW w:w="1125" w:type="dxa"/>
          </w:tcPr>
          <w:p>
            <w:pPr>
              <w:widowControl/>
              <w:jc w:val="right"/>
              <w:rPr>
                <w:rFonts w:ascii="宋体" w:hAnsi="宋体" w:eastAsia="宋体" w:cs="宋体"/>
                <w:b/>
                <w:bCs/>
                <w:color w:val="000000"/>
                <w:kern w:val="0"/>
                <w:sz w:val="22"/>
              </w:rPr>
            </w:pPr>
          </w:p>
        </w:tc>
        <w:tc>
          <w:tcPr>
            <w:tcW w:w="1125" w:type="dxa"/>
          </w:tcPr>
          <w:p>
            <w:pPr>
              <w:widowControl/>
              <w:jc w:val="right"/>
              <w:rPr>
                <w:rFonts w:ascii="宋体" w:hAnsi="宋体" w:eastAsia="宋体" w:cs="宋体"/>
                <w:b/>
                <w:bCs/>
                <w:color w:val="000000"/>
                <w:kern w:val="0"/>
                <w:sz w:val="22"/>
              </w:rPr>
            </w:pPr>
          </w:p>
        </w:tc>
      </w:tr>
    </w:tbl>
    <w:p>
      <w:pPr>
        <w:ind w:left="7400" w:hanging="7400" w:hangingChars="3700"/>
        <w:rPr>
          <w:rFonts w:ascii="宋体" w:hAnsi="宋体" w:cs="宋体"/>
          <w:kern w:val="0"/>
          <w:sz w:val="20"/>
          <w:szCs w:val="20"/>
        </w:rPr>
      </w:pPr>
    </w:p>
    <w:p/>
    <w:p/>
    <w:p/>
    <w:p/>
    <w:p/>
    <w:p/>
    <w:p/>
    <w:p/>
    <w:p/>
    <w:p/>
    <w:p/>
    <w:p/>
    <w:p/>
    <w:p/>
    <w:p/>
    <w:p/>
    <w:p/>
    <w:p/>
    <w:p>
      <w:pPr>
        <w:ind w:left="903" w:leftChars="430" w:firstLine="5400" w:firstLineChars="2700"/>
        <w:rPr>
          <w:rFonts w:ascii="宋体" w:hAnsi="宋体" w:cs="宋体"/>
          <w:kern w:val="0"/>
          <w:sz w:val="20"/>
          <w:szCs w:val="20"/>
        </w:rPr>
      </w:pPr>
    </w:p>
    <w:p>
      <w:pPr>
        <w:ind w:left="903" w:leftChars="430" w:firstLine="6200" w:firstLineChars="3100"/>
        <w:rPr>
          <w:rFonts w:ascii="宋体" w:hAnsi="宋体" w:cs="宋体"/>
          <w:kern w:val="0"/>
          <w:sz w:val="22"/>
        </w:rPr>
      </w:pPr>
      <w:r>
        <w:rPr>
          <w:rFonts w:hint="eastAsia" w:ascii="宋体" w:hAnsi="宋体" w:cs="宋体"/>
          <w:kern w:val="0"/>
          <w:sz w:val="20"/>
          <w:szCs w:val="20"/>
        </w:rPr>
        <w:t>部门公开表6</w:t>
      </w:r>
      <w:r>
        <w:rPr>
          <w:rFonts w:hint="eastAsia" w:ascii="华文中宋" w:hAnsi="华文中宋" w:eastAsia="华文中宋" w:cs="宋体"/>
          <w:b/>
          <w:bCs/>
          <w:kern w:val="0"/>
          <w:sz w:val="32"/>
          <w:szCs w:val="32"/>
        </w:rPr>
        <w:t xml:space="preserve">   宿松县工商联</w:t>
      </w:r>
      <w:r>
        <w:rPr>
          <w:rFonts w:hint="eastAsia" w:ascii="华文中宋" w:hAnsi="华文中宋" w:eastAsia="华文中宋" w:cs="宋体"/>
          <w:b/>
          <w:bCs/>
          <w:color w:val="000000"/>
          <w:kern w:val="0"/>
          <w:sz w:val="32"/>
          <w:szCs w:val="32"/>
        </w:rPr>
        <w:t>2021年一般公共预算基本支出表</w:t>
      </w:r>
    </w:p>
    <w:p>
      <w:pPr>
        <w:ind w:left="7400" w:hanging="7400" w:hangingChars="3700"/>
        <w:rPr>
          <w:rFonts w:ascii="宋体" w:hAnsi="宋体" w:cs="宋体"/>
          <w:kern w:val="0"/>
          <w:sz w:val="20"/>
          <w:szCs w:val="20"/>
        </w:rPr>
      </w:pPr>
      <w:r>
        <w:rPr>
          <w:rFonts w:hint="eastAsia" w:ascii="宋体" w:hAnsi="宋体" w:cs="宋体"/>
          <w:kern w:val="0"/>
          <w:sz w:val="20"/>
          <w:szCs w:val="20"/>
        </w:rPr>
        <w:t xml:space="preserve">                                                                          单位：万元</w:t>
      </w:r>
    </w:p>
    <w:tbl>
      <w:tblPr>
        <w:tblStyle w:val="5"/>
        <w:tblW w:w="8961" w:type="dxa"/>
        <w:tblInd w:w="100" w:type="dxa"/>
        <w:tblLayout w:type="fixed"/>
        <w:tblCellMar>
          <w:top w:w="0" w:type="dxa"/>
          <w:left w:w="108" w:type="dxa"/>
          <w:bottom w:w="0" w:type="dxa"/>
          <w:right w:w="108" w:type="dxa"/>
        </w:tblCellMar>
      </w:tblPr>
      <w:tblGrid>
        <w:gridCol w:w="1426"/>
        <w:gridCol w:w="3260"/>
        <w:gridCol w:w="1559"/>
        <w:gridCol w:w="1418"/>
        <w:gridCol w:w="1298"/>
      </w:tblGrid>
      <w:tr>
        <w:tblPrEx>
          <w:tblCellMar>
            <w:top w:w="0" w:type="dxa"/>
            <w:left w:w="108" w:type="dxa"/>
            <w:bottom w:w="0" w:type="dxa"/>
            <w:right w:w="108" w:type="dxa"/>
          </w:tblCellMar>
        </w:tblPrEx>
        <w:trPr>
          <w:trHeight w:val="402" w:hRule="atLeast"/>
        </w:trPr>
        <w:tc>
          <w:tcPr>
            <w:tcW w:w="46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部门预算支出经济分类科目</w:t>
            </w:r>
          </w:p>
        </w:tc>
        <w:tc>
          <w:tcPr>
            <w:tcW w:w="427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本年一般公共预算基本支出</w:t>
            </w:r>
          </w:p>
        </w:tc>
      </w:tr>
      <w:tr>
        <w:tblPrEx>
          <w:tblCellMar>
            <w:top w:w="0" w:type="dxa"/>
            <w:left w:w="108" w:type="dxa"/>
            <w:bottom w:w="0" w:type="dxa"/>
            <w:right w:w="108" w:type="dxa"/>
          </w:tblCellMar>
        </w:tblPrEx>
        <w:trPr>
          <w:trHeight w:val="402" w:hRule="atLeast"/>
        </w:trPr>
        <w:tc>
          <w:tcPr>
            <w:tcW w:w="14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3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合计</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人员经费</w:t>
            </w:r>
          </w:p>
        </w:tc>
        <w:tc>
          <w:tcPr>
            <w:tcW w:w="129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公用经费</w:t>
            </w:r>
          </w:p>
        </w:tc>
      </w:tr>
      <w:tr>
        <w:tblPrEx>
          <w:tblCellMar>
            <w:top w:w="0" w:type="dxa"/>
            <w:left w:w="108" w:type="dxa"/>
            <w:bottom w:w="0" w:type="dxa"/>
            <w:right w:w="108" w:type="dxa"/>
          </w:tblCellMar>
        </w:tblPrEx>
        <w:trPr>
          <w:trHeight w:val="402" w:hRule="atLeast"/>
        </w:trPr>
        <w:tc>
          <w:tcPr>
            <w:tcW w:w="14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301</w:t>
            </w:r>
          </w:p>
        </w:tc>
        <w:tc>
          <w:tcPr>
            <w:tcW w:w="3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工资福利支出</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2"/>
              </w:rPr>
            </w:pPr>
            <w:r>
              <w:rPr>
                <w:rFonts w:ascii="宋体" w:hAnsi="宋体" w:eastAsia="宋体" w:cs="宋体"/>
                <w:kern w:val="0"/>
                <w:sz w:val="22"/>
              </w:rPr>
              <w:t>48.40</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2"/>
              </w:rPr>
            </w:pPr>
            <w:r>
              <w:rPr>
                <w:rFonts w:ascii="宋体" w:hAnsi="宋体" w:eastAsia="宋体" w:cs="宋体"/>
                <w:kern w:val="0"/>
                <w:sz w:val="22"/>
              </w:rPr>
              <w:t>48.40</w:t>
            </w:r>
          </w:p>
        </w:tc>
        <w:tc>
          <w:tcPr>
            <w:tcW w:w="129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4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30101</w:t>
            </w:r>
          </w:p>
        </w:tc>
        <w:tc>
          <w:tcPr>
            <w:tcW w:w="3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基本工资</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2"/>
              </w:rPr>
            </w:pPr>
            <w:r>
              <w:rPr>
                <w:rFonts w:hint="eastAsia" w:ascii="宋体" w:hAnsi="宋体" w:eastAsia="宋体" w:cs="宋体"/>
                <w:kern w:val="0"/>
                <w:sz w:val="22"/>
              </w:rPr>
              <w:t>22.94</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2"/>
              </w:rPr>
            </w:pPr>
            <w:r>
              <w:rPr>
                <w:rFonts w:hint="eastAsia" w:ascii="宋体" w:hAnsi="宋体" w:eastAsia="宋体" w:cs="宋体"/>
                <w:kern w:val="0"/>
                <w:sz w:val="22"/>
              </w:rPr>
              <w:t>22.94</w:t>
            </w:r>
          </w:p>
        </w:tc>
        <w:tc>
          <w:tcPr>
            <w:tcW w:w="129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4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30102</w:t>
            </w:r>
          </w:p>
        </w:tc>
        <w:tc>
          <w:tcPr>
            <w:tcW w:w="3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津贴补贴</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2"/>
              </w:rPr>
            </w:pPr>
            <w:r>
              <w:rPr>
                <w:rFonts w:hint="eastAsia" w:ascii="宋体" w:hAnsi="宋体"/>
                <w:color w:val="000000"/>
                <w:kern w:val="0"/>
                <w:sz w:val="22"/>
              </w:rPr>
              <w:t>10.84</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2"/>
              </w:rPr>
            </w:pPr>
            <w:r>
              <w:rPr>
                <w:rFonts w:hint="eastAsia" w:ascii="宋体" w:hAnsi="宋体"/>
                <w:color w:val="000000"/>
                <w:kern w:val="0"/>
                <w:sz w:val="22"/>
              </w:rPr>
              <w:t>10.84</w:t>
            </w:r>
          </w:p>
        </w:tc>
        <w:tc>
          <w:tcPr>
            <w:tcW w:w="129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4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olor w:val="000000"/>
                <w:kern w:val="0"/>
                <w:sz w:val="22"/>
              </w:rPr>
            </w:pPr>
            <w:r>
              <w:rPr>
                <w:rFonts w:hint="eastAsia" w:ascii="宋体" w:hAnsi="宋体"/>
                <w:color w:val="000000"/>
                <w:kern w:val="0"/>
                <w:sz w:val="22"/>
              </w:rPr>
              <w:t xml:space="preserve"> 30103</w:t>
            </w:r>
          </w:p>
        </w:tc>
        <w:tc>
          <w:tcPr>
            <w:tcW w:w="3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olor w:val="000000"/>
                <w:kern w:val="0"/>
                <w:sz w:val="22"/>
              </w:rPr>
            </w:pPr>
            <w:r>
              <w:rPr>
                <w:rFonts w:hint="eastAsia" w:ascii="宋体" w:hAnsi="宋体"/>
                <w:color w:val="000000"/>
                <w:kern w:val="0"/>
                <w:sz w:val="22"/>
              </w:rPr>
              <w:t xml:space="preserve">  奖金</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2"/>
              </w:rPr>
            </w:pPr>
            <w:r>
              <w:rPr>
                <w:rFonts w:hint="eastAsia" w:ascii="宋体" w:hAnsi="宋体"/>
                <w:color w:val="000000"/>
                <w:kern w:val="0"/>
                <w:sz w:val="22"/>
              </w:rPr>
              <w:t>1.91</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2"/>
              </w:rPr>
            </w:pPr>
            <w:r>
              <w:rPr>
                <w:rFonts w:hint="eastAsia" w:ascii="宋体" w:hAnsi="宋体"/>
                <w:color w:val="000000"/>
                <w:kern w:val="0"/>
                <w:sz w:val="22"/>
              </w:rPr>
              <w:t>1.91</w:t>
            </w:r>
          </w:p>
        </w:tc>
        <w:tc>
          <w:tcPr>
            <w:tcW w:w="129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4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olor w:val="000000"/>
                <w:kern w:val="0"/>
                <w:sz w:val="22"/>
              </w:rPr>
            </w:pPr>
            <w:r>
              <w:rPr>
                <w:rFonts w:hint="eastAsia" w:ascii="宋体" w:hAnsi="宋体"/>
                <w:color w:val="000000"/>
                <w:kern w:val="0"/>
                <w:sz w:val="22"/>
              </w:rPr>
              <w:t xml:space="preserve"> 30108</w:t>
            </w:r>
          </w:p>
        </w:tc>
        <w:tc>
          <w:tcPr>
            <w:tcW w:w="3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olor w:val="000000"/>
                <w:kern w:val="0"/>
                <w:sz w:val="22"/>
              </w:rPr>
            </w:pPr>
            <w:r>
              <w:rPr>
                <w:rFonts w:hint="eastAsia" w:ascii="宋体" w:hAnsi="宋体"/>
                <w:color w:val="000000"/>
                <w:kern w:val="0"/>
                <w:sz w:val="22"/>
              </w:rPr>
              <w:t xml:space="preserve">  机关事业基本养老保险缴费</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5.71</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5.71</w:t>
            </w:r>
          </w:p>
        </w:tc>
        <w:tc>
          <w:tcPr>
            <w:tcW w:w="129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4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olor w:val="000000"/>
                <w:kern w:val="0"/>
                <w:sz w:val="22"/>
              </w:rPr>
            </w:pPr>
            <w:r>
              <w:rPr>
                <w:rFonts w:hint="eastAsia" w:ascii="宋体" w:hAnsi="宋体"/>
                <w:color w:val="000000"/>
                <w:kern w:val="0"/>
                <w:sz w:val="22"/>
              </w:rPr>
              <w:t xml:space="preserve"> 30110</w:t>
            </w:r>
          </w:p>
        </w:tc>
        <w:tc>
          <w:tcPr>
            <w:tcW w:w="3260" w:type="dxa"/>
            <w:tcBorders>
              <w:top w:val="nil"/>
              <w:left w:val="nil"/>
              <w:bottom w:val="single" w:color="auto" w:sz="4" w:space="0"/>
              <w:right w:val="single" w:color="auto" w:sz="4" w:space="0"/>
            </w:tcBorders>
            <w:shd w:val="clear" w:color="auto" w:fill="auto"/>
            <w:noWrap/>
            <w:vAlign w:val="center"/>
          </w:tcPr>
          <w:p>
            <w:pPr>
              <w:widowControl/>
              <w:ind w:firstLine="220" w:firstLineChars="100"/>
              <w:jc w:val="left"/>
              <w:rPr>
                <w:rFonts w:ascii="宋体" w:hAnsi="宋体"/>
                <w:color w:val="000000"/>
                <w:kern w:val="0"/>
                <w:sz w:val="22"/>
              </w:rPr>
            </w:pPr>
            <w:r>
              <w:rPr>
                <w:rFonts w:hint="eastAsia" w:ascii="宋体" w:hAnsi="宋体" w:cs="宋体"/>
                <w:color w:val="000000"/>
                <w:kern w:val="0"/>
                <w:sz w:val="22"/>
              </w:rPr>
              <w:t>职工基本医疗保险缴费</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2.32</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2.32</w:t>
            </w:r>
          </w:p>
        </w:tc>
        <w:tc>
          <w:tcPr>
            <w:tcW w:w="129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426" w:type="dxa"/>
            <w:tcBorders>
              <w:top w:val="nil"/>
              <w:left w:val="single" w:color="auto" w:sz="4" w:space="0"/>
              <w:bottom w:val="single" w:color="auto" w:sz="4" w:space="0"/>
              <w:right w:val="single" w:color="auto" w:sz="4" w:space="0"/>
            </w:tcBorders>
            <w:shd w:val="clear" w:color="auto" w:fill="auto"/>
            <w:noWrap/>
          </w:tcPr>
          <w:p>
            <w:pPr>
              <w:widowControl/>
              <w:rPr>
                <w:rFonts w:ascii="宋体" w:hAnsi="宋体" w:cs="宋体"/>
                <w:color w:val="000000"/>
                <w:kern w:val="0"/>
                <w:sz w:val="22"/>
              </w:rPr>
            </w:pPr>
            <w:r>
              <w:rPr>
                <w:rFonts w:hint="eastAsia" w:ascii="宋体" w:hAnsi="宋体" w:cs="宋体"/>
                <w:color w:val="000000"/>
                <w:kern w:val="0"/>
                <w:sz w:val="22"/>
              </w:rPr>
              <w:t xml:space="preserve"> 30112</w:t>
            </w:r>
          </w:p>
        </w:tc>
        <w:tc>
          <w:tcPr>
            <w:tcW w:w="3260" w:type="dxa"/>
            <w:tcBorders>
              <w:top w:val="nil"/>
              <w:left w:val="nil"/>
              <w:bottom w:val="single" w:color="auto" w:sz="4" w:space="0"/>
              <w:right w:val="single" w:color="auto" w:sz="4" w:space="0"/>
            </w:tcBorders>
            <w:shd w:val="clear" w:color="auto" w:fill="auto"/>
            <w:noWrap/>
            <w:vAlign w:val="center"/>
          </w:tcPr>
          <w:p>
            <w:pPr>
              <w:widowControl/>
              <w:ind w:firstLine="220" w:firstLineChars="100"/>
              <w:rPr>
                <w:rFonts w:ascii="宋体" w:hAnsi="宋体" w:cs="宋体"/>
                <w:color w:val="000000"/>
                <w:kern w:val="0"/>
                <w:sz w:val="22"/>
              </w:rPr>
            </w:pPr>
            <w:r>
              <w:rPr>
                <w:rFonts w:hint="eastAsia" w:ascii="宋体" w:hAnsi="宋体" w:cs="宋体"/>
                <w:color w:val="000000"/>
                <w:kern w:val="0"/>
                <w:sz w:val="22"/>
              </w:rPr>
              <w:t>其他社会保障缴费</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ascii="宋体" w:hAnsi="宋体" w:eastAsia="宋体" w:cs="宋体"/>
                <w:kern w:val="0"/>
                <w:sz w:val="22"/>
              </w:rPr>
              <w:t>0.4</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ascii="宋体" w:hAnsi="宋体" w:eastAsia="宋体" w:cs="宋体"/>
                <w:kern w:val="0"/>
                <w:sz w:val="22"/>
              </w:rPr>
              <w:t>0.4</w:t>
            </w:r>
          </w:p>
        </w:tc>
        <w:tc>
          <w:tcPr>
            <w:tcW w:w="129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426" w:type="dxa"/>
            <w:tcBorders>
              <w:top w:val="nil"/>
              <w:left w:val="single" w:color="auto" w:sz="4" w:space="0"/>
              <w:bottom w:val="single" w:color="auto" w:sz="4" w:space="0"/>
              <w:right w:val="single" w:color="auto" w:sz="4" w:space="0"/>
            </w:tcBorders>
            <w:shd w:val="clear" w:color="auto" w:fill="auto"/>
            <w:noWrap/>
            <w:vAlign w:val="center"/>
          </w:tcPr>
          <w:p>
            <w:pPr>
              <w:widowControl/>
              <w:ind w:firstLine="220" w:firstLineChars="100"/>
              <w:rPr>
                <w:rFonts w:ascii="宋体" w:hAnsi="宋体"/>
                <w:color w:val="000000"/>
                <w:kern w:val="0"/>
                <w:sz w:val="22"/>
              </w:rPr>
            </w:pPr>
            <w:r>
              <w:rPr>
                <w:rFonts w:hint="eastAsia" w:ascii="宋体" w:hAnsi="宋体"/>
                <w:color w:val="000000"/>
                <w:kern w:val="0"/>
                <w:sz w:val="22"/>
              </w:rPr>
              <w:t>30105</w:t>
            </w:r>
          </w:p>
        </w:tc>
        <w:tc>
          <w:tcPr>
            <w:tcW w:w="3260" w:type="dxa"/>
            <w:tcBorders>
              <w:top w:val="nil"/>
              <w:left w:val="nil"/>
              <w:bottom w:val="single" w:color="auto" w:sz="4" w:space="0"/>
              <w:right w:val="single" w:color="auto" w:sz="4" w:space="0"/>
            </w:tcBorders>
            <w:shd w:val="clear" w:color="auto" w:fill="auto"/>
            <w:noWrap/>
            <w:vAlign w:val="center"/>
          </w:tcPr>
          <w:p>
            <w:pPr>
              <w:widowControl/>
              <w:ind w:firstLine="220" w:firstLineChars="100"/>
              <w:rPr>
                <w:rFonts w:ascii="宋体" w:hAnsi="宋体"/>
                <w:color w:val="000000"/>
                <w:kern w:val="0"/>
                <w:sz w:val="22"/>
              </w:rPr>
            </w:pPr>
            <w:r>
              <w:rPr>
                <w:rFonts w:hint="eastAsia" w:ascii="宋体" w:hAnsi="宋体"/>
                <w:color w:val="000000"/>
                <w:kern w:val="0"/>
                <w:sz w:val="22"/>
              </w:rPr>
              <w:t>住房公积金</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4.28</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4.28</w:t>
            </w:r>
          </w:p>
        </w:tc>
        <w:tc>
          <w:tcPr>
            <w:tcW w:w="129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4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olor w:val="000000"/>
                <w:kern w:val="0"/>
                <w:sz w:val="22"/>
              </w:rPr>
            </w:pPr>
            <w:r>
              <w:rPr>
                <w:rFonts w:hint="eastAsia" w:ascii="宋体" w:hAnsi="宋体"/>
                <w:color w:val="000000"/>
                <w:kern w:val="0"/>
                <w:sz w:val="22"/>
              </w:rPr>
              <w:t>302</w:t>
            </w:r>
          </w:p>
        </w:tc>
        <w:tc>
          <w:tcPr>
            <w:tcW w:w="3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olor w:val="000000"/>
                <w:kern w:val="0"/>
                <w:sz w:val="22"/>
              </w:rPr>
            </w:pPr>
            <w:r>
              <w:rPr>
                <w:rFonts w:hint="eastAsia" w:ascii="宋体" w:hAnsi="宋体"/>
                <w:color w:val="000000"/>
                <w:kern w:val="0"/>
                <w:sz w:val="22"/>
              </w:rPr>
              <w:t>商品和服务支出</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40.65</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2"/>
              </w:rPr>
            </w:pPr>
          </w:p>
        </w:tc>
        <w:tc>
          <w:tcPr>
            <w:tcW w:w="129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40.65</w:t>
            </w:r>
          </w:p>
        </w:tc>
      </w:tr>
      <w:tr>
        <w:tblPrEx>
          <w:tblCellMar>
            <w:top w:w="0" w:type="dxa"/>
            <w:left w:w="108" w:type="dxa"/>
            <w:bottom w:w="0" w:type="dxa"/>
            <w:right w:w="108" w:type="dxa"/>
          </w:tblCellMar>
        </w:tblPrEx>
        <w:trPr>
          <w:trHeight w:val="402" w:hRule="atLeast"/>
        </w:trPr>
        <w:tc>
          <w:tcPr>
            <w:tcW w:w="14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olor w:val="000000"/>
                <w:kern w:val="0"/>
                <w:sz w:val="22"/>
              </w:rPr>
            </w:pPr>
            <w:r>
              <w:rPr>
                <w:rFonts w:hint="eastAsia" w:ascii="宋体" w:hAnsi="宋体"/>
                <w:color w:val="000000"/>
                <w:kern w:val="0"/>
                <w:sz w:val="22"/>
              </w:rPr>
              <w:t xml:space="preserve"> 30201</w:t>
            </w:r>
          </w:p>
        </w:tc>
        <w:tc>
          <w:tcPr>
            <w:tcW w:w="3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olor w:val="000000"/>
                <w:kern w:val="0"/>
                <w:sz w:val="22"/>
              </w:rPr>
            </w:pPr>
            <w:r>
              <w:rPr>
                <w:rFonts w:hint="eastAsia" w:ascii="宋体" w:hAnsi="宋体"/>
                <w:color w:val="000000"/>
                <w:kern w:val="0"/>
                <w:sz w:val="22"/>
              </w:rPr>
              <w:t xml:space="preserve">  办公费</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r>
              <w:rPr>
                <w:rFonts w:ascii="宋体" w:hAnsi="宋体" w:eastAsia="宋体" w:cs="宋体"/>
                <w:kern w:val="0"/>
                <w:sz w:val="22"/>
              </w:rPr>
              <w:t>0</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2"/>
              </w:rPr>
            </w:pPr>
          </w:p>
        </w:tc>
        <w:tc>
          <w:tcPr>
            <w:tcW w:w="129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r>
              <w:rPr>
                <w:rFonts w:ascii="宋体" w:hAnsi="宋体" w:eastAsia="宋体" w:cs="宋体"/>
                <w:kern w:val="0"/>
                <w:sz w:val="22"/>
              </w:rPr>
              <w:t>0</w:t>
            </w:r>
          </w:p>
        </w:tc>
      </w:tr>
      <w:tr>
        <w:tblPrEx>
          <w:tblCellMar>
            <w:top w:w="0" w:type="dxa"/>
            <w:left w:w="108" w:type="dxa"/>
            <w:bottom w:w="0" w:type="dxa"/>
            <w:right w:w="108" w:type="dxa"/>
          </w:tblCellMar>
        </w:tblPrEx>
        <w:trPr>
          <w:trHeight w:val="402" w:hRule="atLeast"/>
        </w:trPr>
        <w:tc>
          <w:tcPr>
            <w:tcW w:w="14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olor w:val="000000"/>
                <w:kern w:val="0"/>
                <w:sz w:val="22"/>
              </w:rPr>
            </w:pPr>
            <w:r>
              <w:rPr>
                <w:rFonts w:hint="eastAsia" w:ascii="宋体" w:hAnsi="宋体"/>
                <w:color w:val="000000"/>
                <w:kern w:val="0"/>
                <w:sz w:val="22"/>
              </w:rPr>
              <w:t xml:space="preserve"> 30206</w:t>
            </w:r>
          </w:p>
        </w:tc>
        <w:tc>
          <w:tcPr>
            <w:tcW w:w="3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olor w:val="000000"/>
                <w:kern w:val="0"/>
                <w:sz w:val="22"/>
              </w:rPr>
            </w:pPr>
            <w:r>
              <w:rPr>
                <w:rFonts w:hint="eastAsia" w:ascii="宋体" w:hAnsi="宋体"/>
                <w:color w:val="000000"/>
                <w:kern w:val="0"/>
                <w:sz w:val="22"/>
              </w:rPr>
              <w:t xml:space="preserve">  电费</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0.5</w:t>
            </w:r>
            <w:r>
              <w:rPr>
                <w:rFonts w:ascii="宋体" w:hAnsi="宋体" w:eastAsia="宋体" w:cs="宋体"/>
                <w:kern w:val="0"/>
                <w:sz w:val="22"/>
              </w:rPr>
              <w:t>0</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2"/>
              </w:rPr>
            </w:pPr>
          </w:p>
        </w:tc>
        <w:tc>
          <w:tcPr>
            <w:tcW w:w="129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0.5</w:t>
            </w:r>
            <w:r>
              <w:rPr>
                <w:rFonts w:ascii="宋体" w:hAnsi="宋体" w:eastAsia="宋体" w:cs="宋体"/>
                <w:kern w:val="0"/>
                <w:sz w:val="22"/>
              </w:rPr>
              <w:t>0</w:t>
            </w:r>
          </w:p>
        </w:tc>
      </w:tr>
      <w:tr>
        <w:tblPrEx>
          <w:tblCellMar>
            <w:top w:w="0" w:type="dxa"/>
            <w:left w:w="108" w:type="dxa"/>
            <w:bottom w:w="0" w:type="dxa"/>
            <w:right w:w="108" w:type="dxa"/>
          </w:tblCellMar>
        </w:tblPrEx>
        <w:trPr>
          <w:trHeight w:val="402" w:hRule="atLeast"/>
        </w:trPr>
        <w:tc>
          <w:tcPr>
            <w:tcW w:w="1426"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color w:val="000000"/>
                <w:kern w:val="0"/>
                <w:sz w:val="22"/>
              </w:rPr>
            </w:pPr>
            <w:r>
              <w:rPr>
                <w:rFonts w:hint="eastAsia" w:ascii="宋体" w:hAnsi="宋体"/>
                <w:color w:val="000000"/>
                <w:kern w:val="0"/>
                <w:sz w:val="22"/>
              </w:rPr>
              <w:t xml:space="preserve"> 30207</w:t>
            </w:r>
          </w:p>
        </w:tc>
        <w:tc>
          <w:tcPr>
            <w:tcW w:w="3260" w:type="dxa"/>
            <w:tcBorders>
              <w:top w:val="nil"/>
              <w:left w:val="nil"/>
              <w:bottom w:val="single" w:color="auto" w:sz="4" w:space="0"/>
              <w:right w:val="single" w:color="auto" w:sz="4" w:space="0"/>
            </w:tcBorders>
            <w:shd w:val="clear" w:color="auto" w:fill="auto"/>
            <w:noWrap/>
            <w:vAlign w:val="center"/>
          </w:tcPr>
          <w:p>
            <w:pPr>
              <w:widowControl/>
              <w:ind w:firstLine="220" w:firstLineChars="100"/>
              <w:rPr>
                <w:rFonts w:ascii="宋体" w:hAnsi="宋体"/>
                <w:color w:val="000000"/>
                <w:kern w:val="0"/>
                <w:sz w:val="22"/>
              </w:rPr>
            </w:pPr>
            <w:r>
              <w:rPr>
                <w:rFonts w:hint="eastAsia" w:ascii="宋体" w:hAnsi="宋体"/>
                <w:color w:val="000000"/>
                <w:kern w:val="0"/>
                <w:sz w:val="22"/>
              </w:rPr>
              <w:t>邮电费</w:t>
            </w:r>
          </w:p>
        </w:tc>
        <w:tc>
          <w:tcPr>
            <w:tcW w:w="155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2"/>
              </w:rPr>
            </w:pPr>
          </w:p>
        </w:tc>
        <w:tc>
          <w:tcPr>
            <w:tcW w:w="129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r>
      <w:tr>
        <w:tblPrEx>
          <w:tblCellMar>
            <w:top w:w="0" w:type="dxa"/>
            <w:left w:w="108" w:type="dxa"/>
            <w:bottom w:w="0" w:type="dxa"/>
            <w:right w:w="108" w:type="dxa"/>
          </w:tblCellMar>
        </w:tblPrEx>
        <w:trPr>
          <w:trHeight w:val="402" w:hRule="atLeast"/>
        </w:trPr>
        <w:tc>
          <w:tcPr>
            <w:tcW w:w="14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olor w:val="000000"/>
                <w:kern w:val="0"/>
                <w:sz w:val="22"/>
              </w:rPr>
            </w:pPr>
            <w:r>
              <w:rPr>
                <w:rFonts w:hint="eastAsia" w:ascii="宋体" w:hAnsi="宋体"/>
                <w:color w:val="000000"/>
                <w:kern w:val="0"/>
                <w:sz w:val="22"/>
              </w:rPr>
              <w:t xml:space="preserve"> 30211</w:t>
            </w:r>
          </w:p>
        </w:tc>
        <w:tc>
          <w:tcPr>
            <w:tcW w:w="3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olor w:val="000000"/>
                <w:kern w:val="0"/>
                <w:sz w:val="22"/>
              </w:rPr>
            </w:pPr>
            <w:r>
              <w:rPr>
                <w:rFonts w:hint="eastAsia" w:ascii="宋体" w:hAnsi="宋体"/>
                <w:color w:val="000000"/>
                <w:kern w:val="0"/>
                <w:sz w:val="22"/>
              </w:rPr>
              <w:t>　差旅费</w:t>
            </w:r>
          </w:p>
        </w:tc>
        <w:tc>
          <w:tcPr>
            <w:tcW w:w="155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2.00</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2"/>
              </w:rPr>
            </w:pPr>
          </w:p>
        </w:tc>
        <w:tc>
          <w:tcPr>
            <w:tcW w:w="129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2.00</w:t>
            </w:r>
          </w:p>
        </w:tc>
      </w:tr>
      <w:tr>
        <w:tblPrEx>
          <w:tblCellMar>
            <w:top w:w="0" w:type="dxa"/>
            <w:left w:w="108" w:type="dxa"/>
            <w:bottom w:w="0" w:type="dxa"/>
            <w:right w:w="108" w:type="dxa"/>
          </w:tblCellMar>
        </w:tblPrEx>
        <w:trPr>
          <w:trHeight w:val="402" w:hRule="atLeast"/>
        </w:trPr>
        <w:tc>
          <w:tcPr>
            <w:tcW w:w="14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olor w:val="000000"/>
                <w:kern w:val="0"/>
                <w:sz w:val="22"/>
              </w:rPr>
            </w:pPr>
            <w:r>
              <w:rPr>
                <w:rFonts w:hint="eastAsia" w:ascii="宋体" w:hAnsi="宋体"/>
                <w:color w:val="000000"/>
                <w:kern w:val="0"/>
                <w:sz w:val="22"/>
              </w:rPr>
              <w:t>3021599</w:t>
            </w:r>
          </w:p>
        </w:tc>
        <w:tc>
          <w:tcPr>
            <w:tcW w:w="3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olor w:val="000000"/>
                <w:kern w:val="0"/>
                <w:sz w:val="22"/>
              </w:rPr>
            </w:pPr>
            <w:r>
              <w:rPr>
                <w:rFonts w:hint="eastAsia" w:ascii="宋体" w:hAnsi="宋体"/>
                <w:color w:val="000000"/>
                <w:kern w:val="0"/>
                <w:sz w:val="22"/>
              </w:rPr>
              <w:t>会议费</w:t>
            </w:r>
          </w:p>
        </w:tc>
        <w:tc>
          <w:tcPr>
            <w:tcW w:w="155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r>
              <w:rPr>
                <w:rFonts w:ascii="宋体" w:hAnsi="宋体" w:eastAsia="宋体" w:cs="宋体"/>
                <w:color w:val="000000"/>
                <w:kern w:val="0"/>
                <w:sz w:val="22"/>
              </w:rPr>
              <w:t>0</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29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r>
              <w:rPr>
                <w:rFonts w:ascii="宋体" w:hAnsi="宋体" w:eastAsia="宋体" w:cs="宋体"/>
                <w:color w:val="000000"/>
                <w:kern w:val="0"/>
                <w:sz w:val="22"/>
              </w:rPr>
              <w:t>0</w:t>
            </w:r>
          </w:p>
        </w:tc>
      </w:tr>
      <w:tr>
        <w:tblPrEx>
          <w:tblCellMar>
            <w:top w:w="0" w:type="dxa"/>
            <w:left w:w="108" w:type="dxa"/>
            <w:bottom w:w="0" w:type="dxa"/>
            <w:right w:w="108" w:type="dxa"/>
          </w:tblCellMar>
        </w:tblPrEx>
        <w:trPr>
          <w:trHeight w:val="402" w:hRule="atLeast"/>
        </w:trPr>
        <w:tc>
          <w:tcPr>
            <w:tcW w:w="14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olor w:val="000000"/>
                <w:kern w:val="0"/>
                <w:sz w:val="22"/>
              </w:rPr>
            </w:pPr>
            <w:r>
              <w:rPr>
                <w:rFonts w:hint="eastAsia" w:ascii="宋体" w:hAnsi="宋体"/>
                <w:color w:val="000000"/>
                <w:kern w:val="0"/>
                <w:sz w:val="22"/>
              </w:rPr>
              <w:t xml:space="preserve"> 30217</w:t>
            </w:r>
          </w:p>
        </w:tc>
        <w:tc>
          <w:tcPr>
            <w:tcW w:w="3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olor w:val="000000"/>
                <w:kern w:val="0"/>
                <w:sz w:val="22"/>
              </w:rPr>
            </w:pPr>
            <w:r>
              <w:rPr>
                <w:rFonts w:hint="eastAsia" w:ascii="宋体" w:hAnsi="宋体"/>
                <w:color w:val="000000"/>
                <w:kern w:val="0"/>
                <w:sz w:val="22"/>
              </w:rPr>
              <w:t>　公务接待费</w:t>
            </w:r>
          </w:p>
        </w:tc>
        <w:tc>
          <w:tcPr>
            <w:tcW w:w="155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29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r>
      <w:tr>
        <w:tblPrEx>
          <w:tblCellMar>
            <w:top w:w="0" w:type="dxa"/>
            <w:left w:w="108" w:type="dxa"/>
            <w:bottom w:w="0" w:type="dxa"/>
            <w:right w:w="108" w:type="dxa"/>
          </w:tblCellMar>
        </w:tblPrEx>
        <w:trPr>
          <w:trHeight w:val="402" w:hRule="atLeast"/>
        </w:trPr>
        <w:tc>
          <w:tcPr>
            <w:tcW w:w="1426" w:type="dxa"/>
            <w:tcBorders>
              <w:top w:val="nil"/>
              <w:left w:val="single" w:color="auto" w:sz="4" w:space="0"/>
              <w:bottom w:val="single" w:color="auto" w:sz="4" w:space="0"/>
              <w:right w:val="single" w:color="auto" w:sz="4" w:space="0"/>
            </w:tcBorders>
            <w:shd w:val="clear" w:color="auto" w:fill="auto"/>
            <w:noWrap/>
            <w:vAlign w:val="center"/>
          </w:tcPr>
          <w:p>
            <w:pPr>
              <w:widowControl/>
              <w:ind w:firstLine="220" w:firstLineChars="100"/>
              <w:jc w:val="left"/>
              <w:rPr>
                <w:rFonts w:ascii="宋体" w:hAnsi="宋体"/>
                <w:color w:val="000000"/>
                <w:kern w:val="0"/>
                <w:sz w:val="22"/>
              </w:rPr>
            </w:pPr>
            <w:r>
              <w:rPr>
                <w:rFonts w:hint="eastAsia" w:ascii="宋体" w:hAnsi="宋体"/>
                <w:color w:val="000000"/>
                <w:kern w:val="0"/>
                <w:sz w:val="22"/>
              </w:rPr>
              <w:t>30228</w:t>
            </w:r>
          </w:p>
        </w:tc>
        <w:tc>
          <w:tcPr>
            <w:tcW w:w="3260" w:type="dxa"/>
            <w:tcBorders>
              <w:top w:val="nil"/>
              <w:left w:val="nil"/>
              <w:bottom w:val="single" w:color="auto" w:sz="4" w:space="0"/>
              <w:right w:val="single" w:color="auto" w:sz="4" w:space="0"/>
            </w:tcBorders>
            <w:shd w:val="clear" w:color="auto" w:fill="auto"/>
            <w:noWrap/>
            <w:vAlign w:val="center"/>
          </w:tcPr>
          <w:p>
            <w:pPr>
              <w:widowControl/>
              <w:ind w:firstLine="220" w:firstLineChars="100"/>
              <w:jc w:val="left"/>
              <w:rPr>
                <w:rFonts w:ascii="宋体" w:hAnsi="宋体"/>
                <w:color w:val="000000"/>
                <w:kern w:val="0"/>
                <w:sz w:val="22"/>
              </w:rPr>
            </w:pPr>
            <w:r>
              <w:rPr>
                <w:rFonts w:hint="eastAsia" w:ascii="宋体" w:hAnsi="宋体"/>
                <w:color w:val="000000"/>
                <w:kern w:val="0"/>
                <w:sz w:val="22"/>
              </w:rPr>
              <w:t>工会经费</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0.43</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p>
        </w:tc>
        <w:tc>
          <w:tcPr>
            <w:tcW w:w="129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0.43</w:t>
            </w:r>
          </w:p>
        </w:tc>
      </w:tr>
      <w:tr>
        <w:tblPrEx>
          <w:tblCellMar>
            <w:top w:w="0" w:type="dxa"/>
            <w:left w:w="108" w:type="dxa"/>
            <w:bottom w:w="0" w:type="dxa"/>
            <w:right w:w="108" w:type="dxa"/>
          </w:tblCellMar>
        </w:tblPrEx>
        <w:trPr>
          <w:trHeight w:val="402" w:hRule="atLeast"/>
        </w:trPr>
        <w:tc>
          <w:tcPr>
            <w:tcW w:w="1426" w:type="dxa"/>
            <w:tcBorders>
              <w:top w:val="nil"/>
              <w:left w:val="single" w:color="auto" w:sz="4" w:space="0"/>
              <w:bottom w:val="single" w:color="auto" w:sz="4" w:space="0"/>
              <w:right w:val="single" w:color="auto" w:sz="4" w:space="0"/>
            </w:tcBorders>
            <w:shd w:val="clear" w:color="auto" w:fill="auto"/>
            <w:noWrap/>
            <w:vAlign w:val="center"/>
          </w:tcPr>
          <w:p>
            <w:pPr>
              <w:widowControl/>
              <w:ind w:firstLine="220" w:firstLineChars="100"/>
              <w:jc w:val="left"/>
              <w:rPr>
                <w:rFonts w:ascii="宋体" w:hAnsi="宋体"/>
                <w:color w:val="000000"/>
                <w:kern w:val="0"/>
                <w:sz w:val="22"/>
              </w:rPr>
            </w:pPr>
            <w:r>
              <w:rPr>
                <w:rFonts w:hint="eastAsia" w:ascii="宋体" w:hAnsi="宋体"/>
                <w:color w:val="000000"/>
                <w:kern w:val="0"/>
                <w:sz w:val="22"/>
              </w:rPr>
              <w:t>30239</w:t>
            </w:r>
          </w:p>
        </w:tc>
        <w:tc>
          <w:tcPr>
            <w:tcW w:w="3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olor w:val="000000"/>
                <w:kern w:val="0"/>
                <w:sz w:val="22"/>
              </w:rPr>
            </w:pPr>
            <w:r>
              <w:rPr>
                <w:rFonts w:hint="eastAsia" w:ascii="宋体" w:hAnsi="宋体"/>
                <w:color w:val="000000"/>
                <w:kern w:val="0"/>
                <w:sz w:val="22"/>
              </w:rPr>
              <w:t>其他交通费用</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3.72</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p>
        </w:tc>
        <w:tc>
          <w:tcPr>
            <w:tcW w:w="129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3.72</w:t>
            </w:r>
          </w:p>
        </w:tc>
      </w:tr>
      <w:tr>
        <w:tblPrEx>
          <w:tblCellMar>
            <w:top w:w="0" w:type="dxa"/>
            <w:left w:w="108" w:type="dxa"/>
            <w:bottom w:w="0" w:type="dxa"/>
            <w:right w:w="108" w:type="dxa"/>
          </w:tblCellMar>
        </w:tblPrEx>
        <w:trPr>
          <w:trHeight w:val="402" w:hRule="atLeast"/>
        </w:trPr>
        <w:tc>
          <w:tcPr>
            <w:tcW w:w="1426" w:type="dxa"/>
            <w:tcBorders>
              <w:top w:val="nil"/>
              <w:left w:val="single" w:color="auto" w:sz="4" w:space="0"/>
              <w:bottom w:val="single" w:color="auto" w:sz="4" w:space="0"/>
              <w:right w:val="single" w:color="auto" w:sz="4" w:space="0"/>
            </w:tcBorders>
            <w:shd w:val="clear" w:color="auto" w:fill="auto"/>
            <w:noWrap/>
            <w:vAlign w:val="center"/>
          </w:tcPr>
          <w:p>
            <w:pPr>
              <w:widowControl/>
              <w:ind w:firstLine="220" w:firstLineChars="100"/>
              <w:jc w:val="left"/>
              <w:rPr>
                <w:rFonts w:ascii="宋体" w:hAnsi="宋体"/>
                <w:color w:val="000000"/>
                <w:kern w:val="0"/>
                <w:sz w:val="22"/>
              </w:rPr>
            </w:pPr>
            <w:r>
              <w:rPr>
                <w:rFonts w:hint="eastAsia" w:ascii="宋体" w:hAnsi="宋体"/>
                <w:color w:val="000000"/>
                <w:kern w:val="0"/>
                <w:sz w:val="22"/>
              </w:rPr>
              <w:t>30299</w:t>
            </w:r>
          </w:p>
        </w:tc>
        <w:tc>
          <w:tcPr>
            <w:tcW w:w="3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olor w:val="000000"/>
                <w:kern w:val="0"/>
                <w:sz w:val="22"/>
              </w:rPr>
            </w:pPr>
            <w:r>
              <w:rPr>
                <w:rFonts w:hint="eastAsia" w:ascii="宋体" w:hAnsi="宋体"/>
                <w:color w:val="000000"/>
                <w:kern w:val="0"/>
                <w:sz w:val="22"/>
              </w:rPr>
              <w:t>其他商品服务支出</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color w:val="000000"/>
                <w:kern w:val="0"/>
                <w:sz w:val="22"/>
              </w:rPr>
              <w:t>29.00</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p>
        </w:tc>
        <w:tc>
          <w:tcPr>
            <w:tcW w:w="129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color w:val="000000"/>
                <w:kern w:val="0"/>
                <w:sz w:val="22"/>
              </w:rPr>
              <w:t>29.00</w:t>
            </w:r>
          </w:p>
        </w:tc>
      </w:tr>
      <w:tr>
        <w:tblPrEx>
          <w:tblCellMar>
            <w:top w:w="0" w:type="dxa"/>
            <w:left w:w="108" w:type="dxa"/>
            <w:bottom w:w="0" w:type="dxa"/>
            <w:right w:w="108" w:type="dxa"/>
          </w:tblCellMar>
        </w:tblPrEx>
        <w:trPr>
          <w:trHeight w:val="402" w:hRule="atLeast"/>
        </w:trPr>
        <w:tc>
          <w:tcPr>
            <w:tcW w:w="14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olor w:val="000000"/>
                <w:kern w:val="0"/>
                <w:sz w:val="22"/>
              </w:rPr>
            </w:pPr>
            <w:r>
              <w:rPr>
                <w:rFonts w:hint="eastAsia" w:ascii="宋体" w:hAnsi="宋体"/>
                <w:color w:val="000000"/>
                <w:kern w:val="0"/>
                <w:sz w:val="22"/>
              </w:rPr>
              <w:t>303</w:t>
            </w:r>
          </w:p>
        </w:tc>
        <w:tc>
          <w:tcPr>
            <w:tcW w:w="3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olor w:val="000000"/>
                <w:kern w:val="0"/>
                <w:sz w:val="22"/>
              </w:rPr>
            </w:pPr>
            <w:r>
              <w:rPr>
                <w:rFonts w:hint="eastAsia" w:ascii="宋体" w:hAnsi="宋体"/>
                <w:color w:val="000000"/>
                <w:kern w:val="0"/>
                <w:sz w:val="22"/>
              </w:rPr>
              <w:t>对个人和家庭的补助支出</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1.40</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1.40</w:t>
            </w:r>
          </w:p>
        </w:tc>
        <w:tc>
          <w:tcPr>
            <w:tcW w:w="129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1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 w:val="22"/>
              </w:rPr>
            </w:pPr>
            <w:r>
              <w:rPr>
                <w:rFonts w:hint="eastAsia" w:ascii="宋体" w:hAnsi="宋体" w:cs="宋体"/>
                <w:color w:val="000000"/>
                <w:kern w:val="0"/>
                <w:sz w:val="22"/>
                <w:lang w:bidi="ar"/>
              </w:rPr>
              <w:t xml:space="preserve"> 30305</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jc w:val="left"/>
              <w:textAlignment w:val="center"/>
              <w:rPr>
                <w:sz w:val="18"/>
                <w:szCs w:val="18"/>
              </w:rPr>
            </w:pPr>
            <w:r>
              <w:rPr>
                <w:rFonts w:hint="eastAsia" w:ascii="宋体" w:hAnsi="宋体" w:cs="宋体"/>
                <w:color w:val="000000"/>
                <w:kern w:val="0"/>
                <w:sz w:val="22"/>
                <w:lang w:bidi="ar"/>
              </w:rPr>
              <w:t xml:space="preserve">  生活补助</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1.40</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1.40</w:t>
            </w:r>
          </w:p>
        </w:tc>
        <w:tc>
          <w:tcPr>
            <w:tcW w:w="129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1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22"/>
                <w:lang w:bidi="ar"/>
              </w:rPr>
            </w:pP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kern w:val="0"/>
                <w:sz w:val="22"/>
                <w:lang w:bidi="ar"/>
              </w:rPr>
            </w:pPr>
            <w:r>
              <w:rPr>
                <w:rFonts w:hint="eastAsia" w:ascii="宋体" w:hAnsi="宋体" w:cs="宋体"/>
                <w:b/>
                <w:bCs/>
                <w:color w:val="000000"/>
                <w:kern w:val="0"/>
                <w:sz w:val="22"/>
                <w:lang w:bidi="ar"/>
              </w:rPr>
              <w:t>合计</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9</w:t>
            </w:r>
            <w:r>
              <w:rPr>
                <w:rFonts w:ascii="宋体" w:hAnsi="宋体" w:eastAsia="宋体" w:cs="宋体"/>
                <w:b/>
                <w:bCs/>
                <w:kern w:val="0"/>
                <w:sz w:val="22"/>
              </w:rPr>
              <w:t>0.45</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4</w:t>
            </w:r>
            <w:r>
              <w:rPr>
                <w:rFonts w:ascii="宋体" w:hAnsi="宋体" w:eastAsia="宋体" w:cs="宋体"/>
                <w:b/>
                <w:bCs/>
                <w:kern w:val="0"/>
                <w:sz w:val="22"/>
              </w:rPr>
              <w:t>9.80</w:t>
            </w:r>
          </w:p>
        </w:tc>
        <w:tc>
          <w:tcPr>
            <w:tcW w:w="129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4</w:t>
            </w:r>
            <w:r>
              <w:rPr>
                <w:rFonts w:ascii="宋体" w:hAnsi="宋体" w:eastAsia="宋体" w:cs="宋体"/>
                <w:b/>
                <w:bCs/>
                <w:kern w:val="0"/>
                <w:sz w:val="22"/>
              </w:rPr>
              <w:t>0.65</w:t>
            </w:r>
          </w:p>
        </w:tc>
      </w:tr>
    </w:tbl>
    <w:p/>
    <w:p/>
    <w:p/>
    <w:p/>
    <w:p/>
    <w:p/>
    <w:p/>
    <w:p/>
    <w:p/>
    <w:p/>
    <w:p/>
    <w:p>
      <w:pPr>
        <w:rPr>
          <w:rFonts w:ascii="宋体" w:hAnsi="宋体" w:cs="宋体"/>
          <w:kern w:val="0"/>
          <w:sz w:val="20"/>
          <w:szCs w:val="20"/>
        </w:rPr>
      </w:pPr>
      <w:r>
        <w:rPr>
          <w:rFonts w:hint="eastAsia" w:ascii="宋体" w:hAnsi="宋体" w:cs="宋体"/>
          <w:kern w:val="0"/>
          <w:sz w:val="20"/>
          <w:szCs w:val="20"/>
        </w:rPr>
        <w:t xml:space="preserve">                                                                </w:t>
      </w:r>
      <w:r>
        <w:rPr>
          <w:rFonts w:ascii="宋体" w:hAnsi="宋体" w:cs="宋体"/>
          <w:kern w:val="0"/>
          <w:sz w:val="20"/>
          <w:szCs w:val="20"/>
        </w:rPr>
        <w:t xml:space="preserve">     </w:t>
      </w:r>
      <w:r>
        <w:rPr>
          <w:rFonts w:hint="eastAsia" w:ascii="宋体" w:hAnsi="宋体" w:cs="宋体"/>
          <w:kern w:val="0"/>
          <w:sz w:val="20"/>
          <w:szCs w:val="20"/>
        </w:rPr>
        <w:t>部门公开表7</w:t>
      </w:r>
    </w:p>
    <w:p>
      <w:pPr>
        <w:widowControl/>
        <w:ind w:firstLine="140" w:firstLineChars="50"/>
        <w:rPr>
          <w:rFonts w:ascii="华文中宋" w:hAnsi="华文中宋" w:eastAsia="华文中宋" w:cs="宋体"/>
          <w:b/>
          <w:bCs/>
          <w:kern w:val="0"/>
          <w:sz w:val="28"/>
          <w:szCs w:val="28"/>
        </w:rPr>
      </w:pPr>
      <w:r>
        <w:rPr>
          <w:rFonts w:hint="eastAsia" w:ascii="华文中宋" w:hAnsi="华文中宋" w:eastAsia="华文中宋" w:cs="宋体"/>
          <w:b/>
          <w:bCs/>
          <w:kern w:val="0"/>
          <w:sz w:val="28"/>
          <w:szCs w:val="28"/>
        </w:rPr>
        <w:t xml:space="preserve">  </w:t>
      </w:r>
      <w:r>
        <w:rPr>
          <w:rFonts w:ascii="华文中宋" w:hAnsi="华文中宋" w:eastAsia="华文中宋" w:cs="宋体"/>
          <w:b/>
          <w:bCs/>
          <w:kern w:val="0"/>
          <w:sz w:val="28"/>
          <w:szCs w:val="28"/>
        </w:rPr>
        <w:t xml:space="preserve">       </w:t>
      </w:r>
      <w:r>
        <w:rPr>
          <w:rFonts w:hint="eastAsia" w:ascii="华文中宋" w:hAnsi="华文中宋" w:eastAsia="华文中宋" w:cs="宋体"/>
          <w:b/>
          <w:bCs/>
          <w:kern w:val="0"/>
          <w:sz w:val="28"/>
          <w:szCs w:val="28"/>
        </w:rPr>
        <w:t xml:space="preserve"> 宿松县工商联2021年政府性基金预算支出表</w:t>
      </w:r>
    </w:p>
    <w:p>
      <w:pPr>
        <w:ind w:left="7400" w:hanging="7400" w:hangingChars="3700"/>
        <w:rPr>
          <w:rFonts w:ascii="宋体" w:hAnsi="宋体" w:cs="宋体"/>
          <w:kern w:val="0"/>
          <w:sz w:val="20"/>
          <w:szCs w:val="20"/>
        </w:rPr>
      </w:pPr>
      <w:r>
        <w:rPr>
          <w:rFonts w:hint="eastAsia" w:ascii="宋体" w:hAnsi="宋体" w:cs="宋体"/>
          <w:kern w:val="0"/>
          <w:sz w:val="20"/>
          <w:szCs w:val="20"/>
        </w:rPr>
        <w:t xml:space="preserve">                                                                          单位：万元</w:t>
      </w:r>
    </w:p>
    <w:tbl>
      <w:tblPr>
        <w:tblStyle w:val="5"/>
        <w:tblW w:w="8820" w:type="dxa"/>
        <w:tblInd w:w="100" w:type="dxa"/>
        <w:tblLayout w:type="fixed"/>
        <w:tblCellMar>
          <w:top w:w="0" w:type="dxa"/>
          <w:left w:w="108" w:type="dxa"/>
          <w:bottom w:w="0" w:type="dxa"/>
          <w:right w:w="108" w:type="dxa"/>
        </w:tblCellMar>
      </w:tblPr>
      <w:tblGrid>
        <w:gridCol w:w="1400"/>
        <w:gridCol w:w="3340"/>
        <w:gridCol w:w="1360"/>
        <w:gridCol w:w="1360"/>
        <w:gridCol w:w="1360"/>
      </w:tblGrid>
      <w:tr>
        <w:tblPrEx>
          <w:tblCellMar>
            <w:top w:w="0" w:type="dxa"/>
            <w:left w:w="108" w:type="dxa"/>
            <w:bottom w:w="0" w:type="dxa"/>
            <w:right w:w="108" w:type="dxa"/>
          </w:tblCellMar>
        </w:tblPrEx>
        <w:trPr>
          <w:trHeight w:val="465" w:hRule="atLeast"/>
        </w:trPr>
        <w:tc>
          <w:tcPr>
            <w:tcW w:w="14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3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408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本年政府性基金预算支出</w:t>
            </w:r>
          </w:p>
        </w:tc>
      </w:tr>
      <w:tr>
        <w:tblPrEx>
          <w:tblCellMar>
            <w:top w:w="0" w:type="dxa"/>
            <w:left w:w="108" w:type="dxa"/>
            <w:bottom w:w="0" w:type="dxa"/>
            <w:right w:w="108" w:type="dxa"/>
          </w:tblCellMar>
        </w:tblPrEx>
        <w:trPr>
          <w:trHeight w:val="465" w:hRule="atLeast"/>
        </w:trPr>
        <w:tc>
          <w:tcPr>
            <w:tcW w:w="1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3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基本支出</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项目支出</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p>
        </w:tc>
        <w:tc>
          <w:tcPr>
            <w:tcW w:w="33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3340" w:type="dxa"/>
            <w:tcBorders>
              <w:top w:val="nil"/>
              <w:left w:val="nil"/>
              <w:bottom w:val="single" w:color="auto" w:sz="4"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noWrap/>
            <w:vAlign w:val="center"/>
          </w:tcPr>
          <w:p>
            <w:pPr>
              <w:widowControl/>
              <w:ind w:firstLine="110" w:firstLineChars="50"/>
              <w:jc w:val="left"/>
              <w:rPr>
                <w:rFonts w:ascii="宋体" w:hAnsi="宋体" w:cs="宋体"/>
                <w:kern w:val="0"/>
                <w:sz w:val="22"/>
              </w:rPr>
            </w:pPr>
          </w:p>
        </w:tc>
        <w:tc>
          <w:tcPr>
            <w:tcW w:w="33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p>
        </w:tc>
        <w:tc>
          <w:tcPr>
            <w:tcW w:w="33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33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33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33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33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33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33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 xml:space="preserve">          合      计</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bl>
    <w:p>
      <w:pPr>
        <w:pStyle w:val="4"/>
        <w:adjustRightInd w:val="0"/>
        <w:snapToGrid w:val="0"/>
        <w:spacing w:before="0" w:beforeAutospacing="0" w:after="0" w:afterAutospacing="0" w:line="360" w:lineRule="auto"/>
      </w:pPr>
      <w:r>
        <w:rPr>
          <w:rFonts w:hint="eastAsia"/>
        </w:rPr>
        <w:t>说明：宿松县工商联没有政府性基金预算拨款收入，也没有政府性基金预算拨款安排的支出，故本表无数据。</w:t>
      </w:r>
    </w:p>
    <w:p/>
    <w:p/>
    <w:p/>
    <w:p/>
    <w:p/>
    <w:p/>
    <w:p/>
    <w:p/>
    <w:p/>
    <w:p/>
    <w:p/>
    <w:p/>
    <w:p/>
    <w:p/>
    <w:p/>
    <w:p/>
    <w:p/>
    <w:p/>
    <w:p>
      <w:pPr>
        <w:pStyle w:val="4"/>
        <w:adjustRightInd w:val="0"/>
        <w:snapToGrid w:val="0"/>
        <w:spacing w:before="0" w:beforeAutospacing="0" w:after="0" w:afterAutospacing="0" w:line="360" w:lineRule="auto"/>
        <w:ind w:right="100"/>
        <w:jc w:val="right"/>
        <w:rPr>
          <w:rFonts w:ascii="黑体" w:hAnsi="黑体" w:eastAsia="黑体"/>
          <w:bCs/>
          <w:sz w:val="36"/>
          <w:szCs w:val="36"/>
        </w:rPr>
      </w:pPr>
      <w:r>
        <w:rPr>
          <w:rFonts w:hint="eastAsia"/>
          <w:sz w:val="20"/>
          <w:szCs w:val="20"/>
        </w:rPr>
        <w:t xml:space="preserve">  部门公开表8</w:t>
      </w:r>
    </w:p>
    <w:p>
      <w:pPr>
        <w:pStyle w:val="4"/>
        <w:adjustRightInd w:val="0"/>
        <w:snapToGrid w:val="0"/>
        <w:spacing w:before="0" w:beforeAutospacing="0" w:after="0" w:afterAutospacing="0" w:line="360" w:lineRule="auto"/>
        <w:jc w:val="center"/>
        <w:rPr>
          <w:rFonts w:ascii="黑体" w:hAnsi="黑体" w:eastAsia="黑体"/>
          <w:bCs/>
          <w:sz w:val="18"/>
          <w:szCs w:val="18"/>
        </w:rPr>
      </w:pPr>
    </w:p>
    <w:tbl>
      <w:tblPr>
        <w:tblStyle w:val="5"/>
        <w:tblW w:w="9164" w:type="dxa"/>
        <w:tblInd w:w="0" w:type="dxa"/>
        <w:tblLayout w:type="fixed"/>
        <w:tblCellMar>
          <w:top w:w="0" w:type="dxa"/>
          <w:left w:w="108" w:type="dxa"/>
          <w:bottom w:w="0" w:type="dxa"/>
          <w:right w:w="108" w:type="dxa"/>
        </w:tblCellMar>
      </w:tblPr>
      <w:tblGrid>
        <w:gridCol w:w="491"/>
        <w:gridCol w:w="697"/>
        <w:gridCol w:w="3780"/>
        <w:gridCol w:w="236"/>
        <w:gridCol w:w="1024"/>
        <w:gridCol w:w="1260"/>
        <w:gridCol w:w="361"/>
        <w:gridCol w:w="1079"/>
        <w:gridCol w:w="180"/>
        <w:gridCol w:w="56"/>
      </w:tblGrid>
      <w:tr>
        <w:tblPrEx>
          <w:tblCellMar>
            <w:top w:w="0" w:type="dxa"/>
            <w:left w:w="108" w:type="dxa"/>
            <w:bottom w:w="0" w:type="dxa"/>
            <w:right w:w="108" w:type="dxa"/>
          </w:tblCellMar>
        </w:tblPrEx>
        <w:trPr>
          <w:gridAfter w:val="1"/>
          <w:wAfter w:w="56" w:type="dxa"/>
          <w:trHeight w:val="510" w:hRule="atLeast"/>
        </w:trPr>
        <w:tc>
          <w:tcPr>
            <w:tcW w:w="9108" w:type="dxa"/>
            <w:gridSpan w:val="9"/>
            <w:tcBorders>
              <w:top w:val="nil"/>
              <w:left w:val="nil"/>
              <w:bottom w:val="nil"/>
              <w:right w:val="nil"/>
            </w:tcBorders>
            <w:vAlign w:val="center"/>
          </w:tcPr>
          <w:p>
            <w:pPr>
              <w:widowControl/>
              <w:jc w:val="center"/>
              <w:rPr>
                <w:rFonts w:ascii="华文中宋" w:hAnsi="华文中宋" w:eastAsia="华文中宋" w:cs="宋体"/>
                <w:b/>
                <w:bCs/>
                <w:kern w:val="0"/>
                <w:sz w:val="28"/>
                <w:szCs w:val="28"/>
                <w:u w:val="single"/>
              </w:rPr>
            </w:pPr>
            <w:r>
              <w:rPr>
                <w:rFonts w:hint="eastAsia" w:ascii="华文中宋" w:hAnsi="华文中宋" w:eastAsia="华文中宋" w:cs="宋体"/>
                <w:b/>
                <w:bCs/>
                <w:kern w:val="0"/>
                <w:sz w:val="32"/>
                <w:szCs w:val="32"/>
              </w:rPr>
              <w:t xml:space="preserve">  </w:t>
            </w:r>
            <w:r>
              <w:rPr>
                <w:rFonts w:hint="eastAsia" w:ascii="华文中宋" w:hAnsi="华文中宋" w:eastAsia="华文中宋" w:cs="宋体"/>
                <w:b/>
                <w:bCs/>
                <w:kern w:val="0"/>
                <w:sz w:val="28"/>
                <w:szCs w:val="28"/>
              </w:rPr>
              <w:t xml:space="preserve"> 宿松县工商联2021年国有资本经营预算支出表</w:t>
            </w:r>
          </w:p>
        </w:tc>
      </w:tr>
      <w:tr>
        <w:tblPrEx>
          <w:tblCellMar>
            <w:top w:w="0" w:type="dxa"/>
            <w:left w:w="108" w:type="dxa"/>
            <w:bottom w:w="0" w:type="dxa"/>
            <w:right w:w="108" w:type="dxa"/>
          </w:tblCellMar>
        </w:tblPrEx>
        <w:trPr>
          <w:trHeight w:val="375" w:hRule="atLeast"/>
        </w:trPr>
        <w:tc>
          <w:tcPr>
            <w:tcW w:w="491" w:type="dxa"/>
            <w:tcBorders>
              <w:top w:val="nil"/>
              <w:left w:val="nil"/>
              <w:bottom w:val="single" w:color="auto" w:sz="4" w:space="0"/>
              <w:right w:val="nil"/>
            </w:tcBorders>
            <w:vAlign w:val="center"/>
          </w:tcPr>
          <w:p>
            <w:pPr>
              <w:widowControl/>
              <w:jc w:val="left"/>
              <w:rPr>
                <w:rFonts w:ascii="宋体" w:hAnsi="宋体" w:cs="宋体"/>
                <w:kern w:val="0"/>
                <w:sz w:val="18"/>
                <w:szCs w:val="18"/>
              </w:rPr>
            </w:pPr>
          </w:p>
        </w:tc>
        <w:tc>
          <w:tcPr>
            <w:tcW w:w="697" w:type="dxa"/>
            <w:tcBorders>
              <w:top w:val="nil"/>
              <w:left w:val="nil"/>
              <w:bottom w:val="single" w:color="auto" w:sz="4" w:space="0"/>
              <w:right w:val="nil"/>
            </w:tcBorders>
            <w:vAlign w:val="center"/>
          </w:tcPr>
          <w:p>
            <w:pPr>
              <w:widowControl/>
              <w:jc w:val="left"/>
              <w:rPr>
                <w:rFonts w:ascii="宋体" w:hAnsi="宋体" w:cs="宋体"/>
                <w:kern w:val="0"/>
                <w:sz w:val="20"/>
                <w:szCs w:val="20"/>
              </w:rPr>
            </w:pPr>
          </w:p>
        </w:tc>
        <w:tc>
          <w:tcPr>
            <w:tcW w:w="3780" w:type="dxa"/>
            <w:tcBorders>
              <w:top w:val="nil"/>
              <w:left w:val="nil"/>
              <w:bottom w:val="single" w:color="auto" w:sz="4" w:space="0"/>
              <w:right w:val="nil"/>
            </w:tcBorders>
            <w:vAlign w:val="center"/>
          </w:tcPr>
          <w:p>
            <w:pPr>
              <w:widowControl/>
              <w:jc w:val="left"/>
              <w:rPr>
                <w:rFonts w:ascii="宋体" w:hAnsi="宋体" w:cs="宋体"/>
                <w:kern w:val="0"/>
                <w:sz w:val="20"/>
                <w:szCs w:val="20"/>
              </w:rPr>
            </w:pPr>
          </w:p>
        </w:tc>
        <w:tc>
          <w:tcPr>
            <w:tcW w:w="236" w:type="dxa"/>
            <w:tcBorders>
              <w:top w:val="nil"/>
              <w:left w:val="nil"/>
              <w:bottom w:val="nil"/>
              <w:right w:val="nil"/>
            </w:tcBorders>
            <w:vAlign w:val="center"/>
          </w:tcPr>
          <w:p>
            <w:pPr>
              <w:widowControl/>
              <w:jc w:val="left"/>
              <w:rPr>
                <w:rFonts w:ascii="宋体" w:hAnsi="宋体" w:cs="宋体"/>
                <w:kern w:val="0"/>
                <w:sz w:val="20"/>
                <w:szCs w:val="20"/>
              </w:rPr>
            </w:pPr>
          </w:p>
        </w:tc>
        <w:tc>
          <w:tcPr>
            <w:tcW w:w="2645" w:type="dxa"/>
            <w:gridSpan w:val="3"/>
            <w:tcBorders>
              <w:top w:val="nil"/>
              <w:left w:val="nil"/>
              <w:bottom w:val="nil"/>
              <w:right w:val="nil"/>
            </w:tcBorders>
            <w:vAlign w:val="center"/>
          </w:tcPr>
          <w:p>
            <w:pPr>
              <w:widowControl/>
              <w:jc w:val="left"/>
              <w:rPr>
                <w:rFonts w:ascii="宋体" w:hAnsi="宋体" w:cs="宋体"/>
                <w:kern w:val="0"/>
                <w:sz w:val="20"/>
                <w:szCs w:val="20"/>
              </w:rPr>
            </w:pPr>
          </w:p>
        </w:tc>
        <w:tc>
          <w:tcPr>
            <w:tcW w:w="1315" w:type="dxa"/>
            <w:gridSpan w:val="3"/>
            <w:tcBorders>
              <w:top w:val="nil"/>
              <w:left w:val="nil"/>
              <w:bottom w:val="nil"/>
              <w:right w:val="nil"/>
            </w:tcBorders>
            <w:vAlign w:val="center"/>
          </w:tcPr>
          <w:p>
            <w:pPr>
              <w:widowControl/>
              <w:ind w:right="100"/>
              <w:jc w:val="right"/>
              <w:rPr>
                <w:rFonts w:ascii="宋体" w:hAns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gridAfter w:val="2"/>
          <w:wAfter w:w="236" w:type="dxa"/>
          <w:trHeight w:val="405" w:hRule="atLeast"/>
        </w:trPr>
        <w:tc>
          <w:tcPr>
            <w:tcW w:w="496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hint="eastAsia" w:ascii="宋体" w:hAnsi="宋体" w:cs="宋体"/>
                <w:b/>
                <w:kern w:val="0"/>
                <w:sz w:val="22"/>
              </w:rPr>
              <w:t>功能分类科目</w:t>
            </w:r>
          </w:p>
        </w:tc>
        <w:tc>
          <w:tcPr>
            <w:tcW w:w="396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b/>
                <w:bCs/>
                <w:kern w:val="0"/>
                <w:sz w:val="22"/>
              </w:rPr>
              <w:t>国有资本经营预算拨款支出</w:t>
            </w: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科目编码</w:t>
            </w:r>
          </w:p>
        </w:tc>
        <w:tc>
          <w:tcPr>
            <w:tcW w:w="37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科目名称</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合计</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基本支出</w:t>
            </w:r>
          </w:p>
        </w:tc>
        <w:tc>
          <w:tcPr>
            <w:tcW w:w="1440" w:type="dxa"/>
            <w:gridSpan w:val="2"/>
            <w:tcBorders>
              <w:top w:val="nil"/>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项目支出</w:t>
            </w:r>
          </w:p>
        </w:tc>
      </w:tr>
      <w:tr>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kern w:val="0"/>
                <w:sz w:val="22"/>
              </w:rPr>
            </w:pPr>
          </w:p>
        </w:tc>
        <w:tc>
          <w:tcPr>
            <w:tcW w:w="378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Cs/>
                <w:kern w:val="0"/>
                <w:sz w:val="2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3780" w:type="dxa"/>
            <w:tcBorders>
              <w:top w:val="single" w:color="auto" w:sz="4" w:space="0"/>
              <w:left w:val="nil"/>
              <w:bottom w:val="single" w:color="auto" w:sz="4" w:space="0"/>
              <w:right w:val="single" w:color="auto" w:sz="4" w:space="0"/>
            </w:tcBorders>
            <w:vAlign w:val="center"/>
          </w:tcPr>
          <w:p>
            <w:pPr>
              <w:widowControl/>
              <w:ind w:firstLine="220" w:firstLineChars="100"/>
              <w:jc w:val="left"/>
              <w:rPr>
                <w:rFonts w:ascii="宋体" w:hAnsi="宋体" w:cs="宋体"/>
                <w:kern w:val="0"/>
                <w:sz w:val="22"/>
              </w:rPr>
            </w:pP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378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rPr>
            </w:pP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378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rPr>
            </w:pP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3780" w:type="dxa"/>
            <w:tcBorders>
              <w:top w:val="nil"/>
              <w:left w:val="nil"/>
              <w:bottom w:val="single" w:color="auto" w:sz="4" w:space="0"/>
              <w:right w:val="single" w:color="auto" w:sz="4" w:space="0"/>
            </w:tcBorders>
            <w:vAlign w:val="center"/>
          </w:tcPr>
          <w:p>
            <w:pPr>
              <w:widowControl/>
              <w:jc w:val="left"/>
              <w:rPr>
                <w:rFonts w:ascii="宋体" w:hAnsi="宋体" w:cs="宋体"/>
                <w:kern w:val="0"/>
                <w:sz w:val="22"/>
              </w:rPr>
            </w:pP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3780" w:type="dxa"/>
            <w:tcBorders>
              <w:top w:val="nil"/>
              <w:left w:val="nil"/>
              <w:bottom w:val="single" w:color="auto" w:sz="4" w:space="0"/>
              <w:right w:val="single" w:color="auto" w:sz="4" w:space="0"/>
            </w:tcBorders>
            <w:vAlign w:val="center"/>
          </w:tcPr>
          <w:p>
            <w:pPr>
              <w:widowControl/>
              <w:jc w:val="left"/>
              <w:rPr>
                <w:rFonts w:ascii="宋体" w:hAnsi="宋体" w:cs="宋体"/>
                <w:kern w:val="0"/>
                <w:sz w:val="22"/>
              </w:rPr>
            </w:pP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000000" w:sz="4" w:space="0"/>
            </w:tcBorders>
            <w:vAlign w:val="bottom"/>
          </w:tcPr>
          <w:p>
            <w:pPr>
              <w:widowControl/>
              <w:jc w:val="center"/>
              <w:rPr>
                <w:rFonts w:ascii="宋体" w:hAnsi="宋体" w:cs="宋体"/>
                <w:kern w:val="0"/>
                <w:sz w:val="24"/>
              </w:rPr>
            </w:pPr>
          </w:p>
        </w:tc>
        <w:tc>
          <w:tcPr>
            <w:tcW w:w="37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2"/>
              </w:rPr>
            </w:pPr>
            <w:r>
              <w:rPr>
                <w:rFonts w:hint="eastAsia" w:ascii="宋体" w:hAnsi="宋体" w:cs="宋体"/>
                <w:kern w:val="0"/>
                <w:sz w:val="22"/>
              </w:rPr>
              <w:t>　</w:t>
            </w:r>
          </w:p>
        </w:tc>
        <w:tc>
          <w:tcPr>
            <w:tcW w:w="3780" w:type="dxa"/>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2"/>
              </w:rPr>
            </w:pPr>
            <w:r>
              <w:rPr>
                <w:rFonts w:hint="eastAsia" w:ascii="宋体" w:hAnsi="宋体" w:cs="宋体"/>
                <w:kern w:val="0"/>
                <w:sz w:val="22"/>
              </w:rPr>
              <w:t>　</w:t>
            </w:r>
          </w:p>
        </w:tc>
        <w:tc>
          <w:tcPr>
            <w:tcW w:w="3780" w:type="dxa"/>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37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37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37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2"/>
          <w:wAfter w:w="236" w:type="dxa"/>
          <w:trHeight w:val="405" w:hRule="atLeast"/>
        </w:trPr>
        <w:tc>
          <w:tcPr>
            <w:tcW w:w="496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合计</w:t>
            </w:r>
          </w:p>
        </w:tc>
        <w:tc>
          <w:tcPr>
            <w:tcW w:w="126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56" w:type="dxa"/>
          <w:trHeight w:val="795" w:hRule="atLeast"/>
        </w:trPr>
        <w:tc>
          <w:tcPr>
            <w:tcW w:w="9108" w:type="dxa"/>
            <w:gridSpan w:val="9"/>
            <w:tcBorders>
              <w:top w:val="single" w:color="auto" w:sz="4" w:space="0"/>
              <w:left w:val="nil"/>
              <w:bottom w:val="nil"/>
              <w:right w:val="nil"/>
            </w:tcBorders>
            <w:vAlign w:val="center"/>
          </w:tcPr>
          <w:p>
            <w:pPr>
              <w:widowControl/>
              <w:jc w:val="left"/>
              <w:rPr>
                <w:rFonts w:ascii="宋体" w:hAnsi="宋体" w:cs="宋体"/>
                <w:kern w:val="0"/>
                <w:sz w:val="24"/>
              </w:rPr>
            </w:pPr>
            <w:r>
              <w:rPr>
                <w:rFonts w:hint="eastAsia" w:ascii="宋体" w:hAnsi="宋体" w:cs="宋体"/>
                <w:kern w:val="0"/>
                <w:sz w:val="24"/>
              </w:rPr>
              <w:t>说明：</w:t>
            </w:r>
            <w:r>
              <w:rPr>
                <w:rFonts w:hint="eastAsia" w:ascii="宋体" w:hAnsi="宋体"/>
                <w:kern w:val="0"/>
                <w:sz w:val="24"/>
              </w:rPr>
              <w:t>宿松县工商联</w:t>
            </w:r>
            <w:r>
              <w:rPr>
                <w:rFonts w:hint="eastAsia" w:ascii="宋体" w:hAnsi="宋体" w:cs="宋体"/>
                <w:kern w:val="0"/>
                <w:sz w:val="24"/>
              </w:rPr>
              <w:t>没有国有资本经营预算拨款收入，也没有国有资本经营预算拨款安排的支出，故本表无数据。</w:t>
            </w:r>
          </w:p>
        </w:tc>
      </w:tr>
    </w:tbl>
    <w:p>
      <w:pPr>
        <w:pStyle w:val="4"/>
        <w:adjustRightInd w:val="0"/>
        <w:snapToGrid w:val="0"/>
        <w:spacing w:before="0" w:beforeAutospacing="0" w:after="0" w:afterAutospacing="0" w:line="360" w:lineRule="auto"/>
        <w:ind w:right="400"/>
        <w:rPr>
          <w:sz w:val="20"/>
          <w:szCs w:val="20"/>
        </w:rPr>
      </w:pPr>
    </w:p>
    <w:p/>
    <w:p>
      <w:pPr>
        <w:sectPr>
          <w:pgSz w:w="11906" w:h="16838"/>
          <w:pgMar w:top="1440" w:right="1797" w:bottom="1440" w:left="1797" w:header="851" w:footer="992" w:gutter="0"/>
          <w:cols w:space="425" w:num="1"/>
          <w:docGrid w:type="lines" w:linePitch="312" w:charSpace="0"/>
        </w:sectPr>
      </w:pPr>
    </w:p>
    <w:p>
      <w:pPr>
        <w:ind w:firstLine="9500" w:firstLineChars="4750"/>
        <w:rPr>
          <w:rFonts w:ascii="宋体" w:hAnsi="宋体" w:cs="宋体"/>
          <w:kern w:val="0"/>
          <w:sz w:val="20"/>
          <w:szCs w:val="20"/>
        </w:rPr>
      </w:pPr>
      <w:r>
        <w:rPr>
          <w:rFonts w:hint="eastAsia" w:ascii="宋体" w:hAnsi="宋体" w:cs="宋体"/>
          <w:kern w:val="0"/>
          <w:sz w:val="20"/>
          <w:szCs w:val="20"/>
        </w:rPr>
        <w:t xml:space="preserve">                      部门公开表9</w:t>
      </w:r>
    </w:p>
    <w:p>
      <w:pPr>
        <w:widowControl/>
        <w:ind w:firstLine="3414" w:firstLineChars="1067"/>
        <w:rPr>
          <w:rFonts w:ascii="华文中宋" w:hAnsi="华文中宋" w:eastAsia="华文中宋" w:cs="宋体"/>
          <w:b/>
          <w:bCs/>
          <w:kern w:val="0"/>
          <w:sz w:val="30"/>
          <w:szCs w:val="30"/>
        </w:rPr>
      </w:pPr>
      <w:r>
        <w:rPr>
          <w:rFonts w:hint="eastAsia" w:ascii="华文中宋" w:hAnsi="华文中宋" w:eastAsia="华文中宋" w:cs="宋体"/>
          <w:b/>
          <w:bCs/>
          <w:kern w:val="0"/>
          <w:sz w:val="32"/>
          <w:szCs w:val="32"/>
        </w:rPr>
        <w:t xml:space="preserve">   宿松县工商联</w:t>
      </w:r>
      <w:r>
        <w:rPr>
          <w:rFonts w:hint="eastAsia" w:ascii="华文中宋" w:hAnsi="华文中宋" w:eastAsia="华文中宋" w:cs="宋体"/>
          <w:b/>
          <w:bCs/>
          <w:kern w:val="0"/>
          <w:sz w:val="30"/>
          <w:szCs w:val="30"/>
        </w:rPr>
        <w:t>2021年项目支出表</w:t>
      </w:r>
    </w:p>
    <w:p>
      <w:pPr>
        <w:ind w:left="7400" w:hanging="7400" w:hangingChars="3700"/>
        <w:rPr>
          <w:rFonts w:ascii="宋体" w:hAnsi="宋体" w:cs="宋体"/>
          <w:kern w:val="0"/>
          <w:sz w:val="20"/>
          <w:szCs w:val="20"/>
        </w:rPr>
      </w:pPr>
      <w:r>
        <w:rPr>
          <w:rFonts w:hint="eastAsia" w:ascii="宋体" w:hAnsi="宋体" w:cs="宋体"/>
          <w:kern w:val="0"/>
          <w:sz w:val="20"/>
          <w:szCs w:val="20"/>
        </w:rPr>
        <w:t xml:space="preserve">                                                                                                                                单位：万元</w:t>
      </w:r>
    </w:p>
    <w:tbl>
      <w:tblPr>
        <w:tblStyle w:val="5"/>
        <w:tblW w:w="14140" w:type="dxa"/>
        <w:tblInd w:w="100" w:type="dxa"/>
        <w:tblLayout w:type="fixed"/>
        <w:tblCellMar>
          <w:top w:w="0" w:type="dxa"/>
          <w:left w:w="108" w:type="dxa"/>
          <w:bottom w:w="0" w:type="dxa"/>
          <w:right w:w="108" w:type="dxa"/>
        </w:tblCellMar>
      </w:tblPr>
      <w:tblGrid>
        <w:gridCol w:w="1200"/>
        <w:gridCol w:w="1440"/>
        <w:gridCol w:w="1360"/>
        <w:gridCol w:w="920"/>
        <w:gridCol w:w="1220"/>
        <w:gridCol w:w="1220"/>
        <w:gridCol w:w="1220"/>
        <w:gridCol w:w="1220"/>
        <w:gridCol w:w="1220"/>
        <w:gridCol w:w="1220"/>
        <w:gridCol w:w="1020"/>
        <w:gridCol w:w="880"/>
      </w:tblGrid>
      <w:tr>
        <w:tblPrEx>
          <w:tblCellMar>
            <w:top w:w="0" w:type="dxa"/>
            <w:left w:w="108" w:type="dxa"/>
            <w:bottom w:w="0" w:type="dxa"/>
            <w:right w:w="108" w:type="dxa"/>
          </w:tblCellMar>
        </w:tblPrEx>
        <w:trPr>
          <w:trHeight w:val="762" w:hRule="atLeast"/>
        </w:trPr>
        <w:tc>
          <w:tcPr>
            <w:tcW w:w="12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类型</w:t>
            </w:r>
          </w:p>
        </w:tc>
        <w:tc>
          <w:tcPr>
            <w:tcW w:w="1440"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项目名称</w:t>
            </w:r>
          </w:p>
        </w:tc>
        <w:tc>
          <w:tcPr>
            <w:tcW w:w="13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项目单位</w:t>
            </w:r>
          </w:p>
        </w:tc>
        <w:tc>
          <w:tcPr>
            <w:tcW w:w="9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本年财政拨款</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财政拨款结转结余</w:t>
            </w:r>
          </w:p>
        </w:tc>
        <w:tc>
          <w:tcPr>
            <w:tcW w:w="10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财政专户管理资金</w:t>
            </w:r>
          </w:p>
        </w:tc>
        <w:tc>
          <w:tcPr>
            <w:tcW w:w="8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单位</w:t>
            </w:r>
          </w:p>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资金</w:t>
            </w:r>
          </w:p>
        </w:tc>
      </w:tr>
      <w:tr>
        <w:tblPrEx>
          <w:tblCellMar>
            <w:top w:w="0" w:type="dxa"/>
            <w:left w:w="108" w:type="dxa"/>
            <w:bottom w:w="0" w:type="dxa"/>
            <w:right w:w="108" w:type="dxa"/>
          </w:tblCellMar>
        </w:tblPrEx>
        <w:trPr>
          <w:trHeight w:val="762" w:hRule="atLeast"/>
        </w:trPr>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4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b/>
                <w:bCs/>
                <w:color w:val="000000"/>
                <w:kern w:val="0"/>
                <w:sz w:val="22"/>
              </w:rPr>
            </w:pPr>
          </w:p>
        </w:tc>
        <w:tc>
          <w:tcPr>
            <w:tcW w:w="13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9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2"/>
              </w:rPr>
            </w:pPr>
          </w:p>
        </w:tc>
        <w:tc>
          <w:tcPr>
            <w:tcW w:w="1220"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一般公共预算</w:t>
            </w:r>
          </w:p>
        </w:tc>
        <w:tc>
          <w:tcPr>
            <w:tcW w:w="1220"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政府性基金预算</w:t>
            </w:r>
          </w:p>
        </w:tc>
        <w:tc>
          <w:tcPr>
            <w:tcW w:w="1220"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国有资本经营预算</w:t>
            </w:r>
          </w:p>
        </w:tc>
        <w:tc>
          <w:tcPr>
            <w:tcW w:w="1220"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一般公共预算</w:t>
            </w:r>
          </w:p>
        </w:tc>
        <w:tc>
          <w:tcPr>
            <w:tcW w:w="1220"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政府性基金预算</w:t>
            </w:r>
          </w:p>
        </w:tc>
        <w:tc>
          <w:tcPr>
            <w:tcW w:w="1220"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国有资本经营预算</w:t>
            </w:r>
          </w:p>
        </w:tc>
        <w:tc>
          <w:tcPr>
            <w:tcW w:w="10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2"/>
              </w:rPr>
            </w:pPr>
          </w:p>
        </w:tc>
        <w:tc>
          <w:tcPr>
            <w:tcW w:w="8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2"/>
              </w:rPr>
            </w:pPr>
          </w:p>
        </w:tc>
      </w:tr>
      <w:tr>
        <w:tblPrEx>
          <w:tblCellMar>
            <w:top w:w="0" w:type="dxa"/>
            <w:left w:w="108" w:type="dxa"/>
            <w:bottom w:w="0" w:type="dxa"/>
            <w:right w:w="108" w:type="dxa"/>
          </w:tblCellMar>
        </w:tblPrEx>
        <w:trPr>
          <w:trHeight w:val="360" w:hRule="atLeast"/>
        </w:trPr>
        <w:tc>
          <w:tcPr>
            <w:tcW w:w="12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44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9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22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22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22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22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22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22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8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CellMar>
            <w:top w:w="0" w:type="dxa"/>
            <w:left w:w="108" w:type="dxa"/>
            <w:bottom w:w="0" w:type="dxa"/>
            <w:right w:w="108" w:type="dxa"/>
          </w:tblCellMar>
        </w:tblPrEx>
        <w:trPr>
          <w:trHeight w:val="360" w:hRule="atLeast"/>
        </w:trPr>
        <w:tc>
          <w:tcPr>
            <w:tcW w:w="12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9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8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CellMar>
            <w:top w:w="0" w:type="dxa"/>
            <w:left w:w="108" w:type="dxa"/>
            <w:bottom w:w="0" w:type="dxa"/>
            <w:right w:w="108" w:type="dxa"/>
          </w:tblCellMar>
        </w:tblPrEx>
        <w:trPr>
          <w:trHeight w:val="360" w:hRule="atLeast"/>
        </w:trPr>
        <w:tc>
          <w:tcPr>
            <w:tcW w:w="12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9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8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CellMar>
            <w:top w:w="0" w:type="dxa"/>
            <w:left w:w="108" w:type="dxa"/>
            <w:bottom w:w="0" w:type="dxa"/>
            <w:right w:w="108" w:type="dxa"/>
          </w:tblCellMar>
        </w:tblPrEx>
        <w:trPr>
          <w:trHeight w:val="360" w:hRule="atLeast"/>
        </w:trPr>
        <w:tc>
          <w:tcPr>
            <w:tcW w:w="12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  计</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9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8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bl>
    <w:p>
      <w:pPr>
        <w:rPr>
          <w:rFonts w:ascii="宋体" w:hAnsi="宋体" w:cs="宋体"/>
          <w:color w:val="000000"/>
          <w:kern w:val="0"/>
          <w:sz w:val="22"/>
        </w:rPr>
      </w:pPr>
      <w:r>
        <w:rPr>
          <w:rFonts w:hint="eastAsia" w:ascii="宋体" w:hAnsi="宋体" w:cs="宋体"/>
          <w:color w:val="000000"/>
          <w:kern w:val="0"/>
          <w:sz w:val="22"/>
        </w:rPr>
        <w:t>说明：宿松县工商联没有使用一般公共预算拨款、政府性基金预算拨款、国有资本经营预算拨款、财政专户管理资金和单位资金安排的项目支出，故本表无数据。</w:t>
      </w:r>
    </w:p>
    <w:p>
      <w:pPr>
        <w:rPr>
          <w:rFonts w:ascii="宋体" w:hAnsi="宋体" w:cs="宋体"/>
          <w:color w:val="000000"/>
          <w:kern w:val="0"/>
          <w:sz w:val="22"/>
        </w:rPr>
      </w:pPr>
    </w:p>
    <w:p>
      <w:pPr>
        <w:rPr>
          <w:rFonts w:ascii="宋体" w:hAnsi="宋体" w:cs="宋体"/>
          <w:color w:val="000000"/>
          <w:kern w:val="0"/>
          <w:sz w:val="22"/>
        </w:rPr>
      </w:pPr>
    </w:p>
    <w:p>
      <w:pPr>
        <w:rPr>
          <w:rFonts w:ascii="宋体" w:hAnsi="宋体" w:cs="宋体"/>
          <w:color w:val="000000"/>
          <w:kern w:val="0"/>
          <w:sz w:val="22"/>
        </w:rPr>
        <w:sectPr>
          <w:pgSz w:w="16838" w:h="11906" w:orient="landscape"/>
          <w:pgMar w:top="1797" w:right="1440" w:bottom="1797" w:left="1440" w:header="851" w:footer="992" w:gutter="0"/>
          <w:cols w:space="425" w:num="1"/>
          <w:docGrid w:type="linesAndChars" w:linePitch="312" w:charSpace="0"/>
        </w:sectPr>
      </w:pPr>
    </w:p>
    <w:p>
      <w:pPr>
        <w:pStyle w:val="4"/>
        <w:wordWrap w:val="0"/>
        <w:adjustRightInd w:val="0"/>
        <w:snapToGrid w:val="0"/>
        <w:spacing w:before="0" w:beforeAutospacing="0" w:after="0" w:afterAutospacing="0" w:line="360" w:lineRule="auto"/>
        <w:jc w:val="right"/>
        <w:rPr>
          <w:sz w:val="20"/>
          <w:szCs w:val="20"/>
        </w:rPr>
      </w:pPr>
      <w:r>
        <w:rPr>
          <w:rFonts w:hint="eastAsia"/>
          <w:sz w:val="20"/>
          <w:szCs w:val="20"/>
        </w:rPr>
        <w:t xml:space="preserve">       部门公开表10</w:t>
      </w:r>
    </w:p>
    <w:tbl>
      <w:tblPr>
        <w:tblStyle w:val="5"/>
        <w:tblpPr w:leftFromText="180" w:rightFromText="180" w:vertAnchor="text" w:horzAnchor="page" w:tblpX="1465" w:tblpY="426"/>
        <w:tblOverlap w:val="never"/>
        <w:tblW w:w="10431" w:type="dxa"/>
        <w:tblInd w:w="0" w:type="dxa"/>
        <w:tblLayout w:type="fixed"/>
        <w:tblCellMar>
          <w:top w:w="0" w:type="dxa"/>
          <w:left w:w="108" w:type="dxa"/>
          <w:bottom w:w="0" w:type="dxa"/>
          <w:right w:w="108" w:type="dxa"/>
        </w:tblCellMar>
      </w:tblPr>
      <w:tblGrid>
        <w:gridCol w:w="864"/>
        <w:gridCol w:w="1840"/>
        <w:gridCol w:w="820"/>
        <w:gridCol w:w="831"/>
        <w:gridCol w:w="1109"/>
        <w:gridCol w:w="1080"/>
        <w:gridCol w:w="1040"/>
        <w:gridCol w:w="1281"/>
        <w:gridCol w:w="1566"/>
      </w:tblGrid>
      <w:tr>
        <w:tblPrEx>
          <w:tblCellMar>
            <w:top w:w="0" w:type="dxa"/>
            <w:left w:w="108" w:type="dxa"/>
            <w:bottom w:w="0" w:type="dxa"/>
            <w:right w:w="108" w:type="dxa"/>
          </w:tblCellMar>
        </w:tblPrEx>
        <w:trPr>
          <w:trHeight w:val="525" w:hRule="atLeast"/>
        </w:trPr>
        <w:tc>
          <w:tcPr>
            <w:tcW w:w="10431" w:type="dxa"/>
            <w:gridSpan w:val="9"/>
            <w:tcBorders>
              <w:top w:val="nil"/>
              <w:left w:val="nil"/>
              <w:bottom w:val="nil"/>
              <w:right w:val="nil"/>
            </w:tcBorders>
            <w:noWrap/>
            <w:vAlign w:val="center"/>
          </w:tcPr>
          <w:p>
            <w:pPr>
              <w:widowControl/>
              <w:ind w:firstLine="1922" w:firstLineChars="600"/>
              <w:rPr>
                <w:rFonts w:ascii="华文中宋" w:hAnsi="华文中宋" w:eastAsia="华文中宋" w:cs="宋体"/>
                <w:b/>
                <w:bCs/>
                <w:kern w:val="0"/>
                <w:sz w:val="32"/>
                <w:szCs w:val="32"/>
              </w:rPr>
            </w:pPr>
            <w:r>
              <w:rPr>
                <w:rFonts w:hint="eastAsia" w:ascii="华文中宋" w:hAnsi="华文中宋" w:eastAsia="华文中宋" w:cs="宋体"/>
                <w:b/>
                <w:bCs/>
                <w:kern w:val="0"/>
                <w:sz w:val="32"/>
                <w:szCs w:val="32"/>
              </w:rPr>
              <w:t>宿松县工商联2021年政府采购支出表</w:t>
            </w:r>
          </w:p>
          <w:p>
            <w:pPr>
              <w:widowControl/>
              <w:jc w:val="center"/>
              <w:rPr>
                <w:rFonts w:ascii="宋体" w:hAnsi="宋体" w:cs="宋体"/>
                <w:b/>
                <w:bCs/>
                <w:kern w:val="0"/>
                <w:sz w:val="32"/>
                <w:szCs w:val="32"/>
              </w:rPr>
            </w:pPr>
            <w:r>
              <w:rPr>
                <w:rFonts w:hint="eastAsia" w:ascii="宋体" w:hAnsi="宋体" w:cs="宋体"/>
                <w:kern w:val="0"/>
                <w:sz w:val="20"/>
                <w:szCs w:val="20"/>
              </w:rPr>
              <w:t xml:space="preserve">                                                                              单位：万元</w:t>
            </w:r>
          </w:p>
        </w:tc>
      </w:tr>
      <w:tr>
        <w:tblPrEx>
          <w:tblCellMar>
            <w:top w:w="0" w:type="dxa"/>
            <w:left w:w="108" w:type="dxa"/>
            <w:bottom w:w="0" w:type="dxa"/>
            <w:right w:w="108" w:type="dxa"/>
          </w:tblCellMar>
        </w:tblPrEx>
        <w:trPr>
          <w:gridAfter w:val="1"/>
          <w:wAfter w:w="1566" w:type="dxa"/>
          <w:trHeight w:val="855" w:hRule="atLeast"/>
        </w:trPr>
        <w:tc>
          <w:tcPr>
            <w:tcW w:w="864"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项目名称</w:t>
            </w:r>
          </w:p>
        </w:tc>
        <w:tc>
          <w:tcPr>
            <w:tcW w:w="184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政府采购项目名称</w:t>
            </w:r>
          </w:p>
        </w:tc>
        <w:tc>
          <w:tcPr>
            <w:tcW w:w="82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合计</w:t>
            </w:r>
          </w:p>
        </w:tc>
        <w:tc>
          <w:tcPr>
            <w:tcW w:w="831"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一般公共预算</w:t>
            </w:r>
          </w:p>
        </w:tc>
        <w:tc>
          <w:tcPr>
            <w:tcW w:w="1109"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政府性基金预算</w:t>
            </w:r>
          </w:p>
        </w:tc>
        <w:tc>
          <w:tcPr>
            <w:tcW w:w="108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国有资本经营预算</w:t>
            </w:r>
          </w:p>
        </w:tc>
        <w:tc>
          <w:tcPr>
            <w:tcW w:w="104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财政专户管理资金</w:t>
            </w:r>
          </w:p>
        </w:tc>
        <w:tc>
          <w:tcPr>
            <w:tcW w:w="1281"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单位资金</w:t>
            </w:r>
          </w:p>
        </w:tc>
      </w:tr>
      <w:tr>
        <w:tblPrEx>
          <w:tblCellMar>
            <w:top w:w="0" w:type="dxa"/>
            <w:left w:w="108" w:type="dxa"/>
            <w:bottom w:w="0" w:type="dxa"/>
            <w:right w:w="108" w:type="dxa"/>
          </w:tblCellMar>
        </w:tblPrEx>
        <w:trPr>
          <w:gridAfter w:val="1"/>
          <w:wAfter w:w="1566" w:type="dxa"/>
          <w:trHeight w:val="540" w:hRule="atLeast"/>
        </w:trPr>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8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2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831"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109"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281"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gridAfter w:val="1"/>
          <w:wAfter w:w="1566" w:type="dxa"/>
          <w:trHeight w:val="540" w:hRule="atLeast"/>
        </w:trPr>
        <w:tc>
          <w:tcPr>
            <w:tcW w:w="86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8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10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0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28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gridAfter w:val="1"/>
          <w:wAfter w:w="1566" w:type="dxa"/>
          <w:trHeight w:val="540" w:hRule="atLeast"/>
        </w:trPr>
        <w:tc>
          <w:tcPr>
            <w:tcW w:w="86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p>
        </w:tc>
        <w:tc>
          <w:tcPr>
            <w:tcW w:w="8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p>
        </w:tc>
        <w:tc>
          <w:tcPr>
            <w:tcW w:w="8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p>
        </w:tc>
        <w:tc>
          <w:tcPr>
            <w:tcW w:w="110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p>
        </w:tc>
        <w:tc>
          <w:tcPr>
            <w:tcW w:w="10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p>
        </w:tc>
        <w:tc>
          <w:tcPr>
            <w:tcW w:w="10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p>
        </w:tc>
        <w:tc>
          <w:tcPr>
            <w:tcW w:w="128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p>
        </w:tc>
      </w:tr>
      <w:tr>
        <w:tblPrEx>
          <w:tblCellMar>
            <w:top w:w="0" w:type="dxa"/>
            <w:left w:w="108" w:type="dxa"/>
            <w:bottom w:w="0" w:type="dxa"/>
            <w:right w:w="108" w:type="dxa"/>
          </w:tblCellMar>
        </w:tblPrEx>
        <w:trPr>
          <w:gridAfter w:val="1"/>
          <w:wAfter w:w="1566" w:type="dxa"/>
          <w:trHeight w:val="540" w:hRule="atLeast"/>
        </w:trPr>
        <w:tc>
          <w:tcPr>
            <w:tcW w:w="86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p>
        </w:tc>
        <w:tc>
          <w:tcPr>
            <w:tcW w:w="8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p>
        </w:tc>
        <w:tc>
          <w:tcPr>
            <w:tcW w:w="8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p>
        </w:tc>
        <w:tc>
          <w:tcPr>
            <w:tcW w:w="110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p>
        </w:tc>
        <w:tc>
          <w:tcPr>
            <w:tcW w:w="10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p>
        </w:tc>
        <w:tc>
          <w:tcPr>
            <w:tcW w:w="10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p>
        </w:tc>
        <w:tc>
          <w:tcPr>
            <w:tcW w:w="128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p>
        </w:tc>
      </w:tr>
      <w:tr>
        <w:tblPrEx>
          <w:tblCellMar>
            <w:top w:w="0" w:type="dxa"/>
            <w:left w:w="108" w:type="dxa"/>
            <w:bottom w:w="0" w:type="dxa"/>
            <w:right w:w="108" w:type="dxa"/>
          </w:tblCellMar>
        </w:tblPrEx>
        <w:trPr>
          <w:gridAfter w:val="1"/>
          <w:wAfter w:w="1566" w:type="dxa"/>
          <w:trHeight w:val="540" w:hRule="atLeast"/>
        </w:trPr>
        <w:tc>
          <w:tcPr>
            <w:tcW w:w="86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8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10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0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28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gridAfter w:val="1"/>
          <w:wAfter w:w="1566" w:type="dxa"/>
          <w:trHeight w:val="540" w:hRule="atLeast"/>
        </w:trPr>
        <w:tc>
          <w:tcPr>
            <w:tcW w:w="86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8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10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0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28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gridAfter w:val="1"/>
          <w:wAfter w:w="1566" w:type="dxa"/>
          <w:trHeight w:val="540" w:hRule="atLeast"/>
        </w:trPr>
        <w:tc>
          <w:tcPr>
            <w:tcW w:w="86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8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10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0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28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gridAfter w:val="1"/>
          <w:wAfter w:w="1566" w:type="dxa"/>
          <w:trHeight w:val="540" w:hRule="atLeast"/>
        </w:trPr>
        <w:tc>
          <w:tcPr>
            <w:tcW w:w="86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8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10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0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28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bl>
    <w:p>
      <w:pPr>
        <w:pStyle w:val="4"/>
        <w:adjustRightInd w:val="0"/>
        <w:snapToGrid w:val="0"/>
        <w:spacing w:before="0" w:beforeAutospacing="0" w:after="0" w:afterAutospacing="0" w:line="360" w:lineRule="auto"/>
        <w:jc w:val="both"/>
        <w:sectPr>
          <w:pgSz w:w="11906" w:h="16838"/>
          <w:pgMar w:top="1440" w:right="1797" w:bottom="1440" w:left="1797" w:header="851" w:footer="992" w:gutter="0"/>
          <w:cols w:space="425" w:num="1"/>
          <w:docGrid w:type="lines" w:linePitch="312" w:charSpace="0"/>
        </w:sectPr>
      </w:pPr>
      <w:r>
        <w:rPr>
          <w:rFonts w:hint="eastAsia"/>
        </w:rPr>
        <w:t>说明</w:t>
      </w:r>
      <w:r>
        <w:rPr>
          <w:rFonts w:hint="eastAsia"/>
          <w:color w:val="000000"/>
          <w:sz w:val="22"/>
        </w:rPr>
        <w:t>：宿松县工商联</w:t>
      </w:r>
      <w:r>
        <w:rPr>
          <w:rFonts w:hint="eastAsia"/>
        </w:rPr>
        <w:t>没有使用一般公共预算拨款、政府性基金预算拨款、国有资本经营预算拨款、财政专户管理资金和单位资金安排的政府采购支出，故本表无数据</w:t>
      </w:r>
      <w:r>
        <w:rPr>
          <w:rFonts w:hint="eastAsia"/>
          <w:color w:val="000000"/>
          <w:sz w:val="22"/>
        </w:rPr>
        <w:t>。</w:t>
      </w:r>
    </w:p>
    <w:p>
      <w:pPr>
        <w:pStyle w:val="4"/>
        <w:wordWrap w:val="0"/>
        <w:adjustRightInd w:val="0"/>
        <w:snapToGrid w:val="0"/>
        <w:spacing w:before="0" w:beforeAutospacing="0" w:after="0" w:afterAutospacing="0" w:line="360" w:lineRule="auto"/>
        <w:jc w:val="right"/>
        <w:rPr>
          <w:sz w:val="20"/>
          <w:szCs w:val="20"/>
        </w:rPr>
      </w:pPr>
    </w:p>
    <w:p>
      <w:pPr>
        <w:pStyle w:val="4"/>
        <w:adjustRightInd w:val="0"/>
        <w:snapToGrid w:val="0"/>
        <w:spacing w:before="0" w:beforeAutospacing="0" w:after="0" w:afterAutospacing="0" w:line="360" w:lineRule="auto"/>
        <w:jc w:val="right"/>
        <w:rPr>
          <w:sz w:val="20"/>
          <w:szCs w:val="20"/>
        </w:rPr>
      </w:pPr>
    </w:p>
    <w:p>
      <w:pPr>
        <w:pStyle w:val="4"/>
        <w:adjustRightInd w:val="0"/>
        <w:snapToGrid w:val="0"/>
        <w:spacing w:before="0" w:beforeAutospacing="0" w:after="0" w:afterAutospacing="0" w:line="360" w:lineRule="auto"/>
        <w:jc w:val="right"/>
        <w:rPr>
          <w:sz w:val="20"/>
          <w:szCs w:val="20"/>
        </w:rPr>
      </w:pPr>
    </w:p>
    <w:p>
      <w:pPr>
        <w:pStyle w:val="4"/>
        <w:adjustRightInd w:val="0"/>
        <w:snapToGrid w:val="0"/>
        <w:spacing w:before="0" w:beforeAutospacing="0" w:after="0" w:afterAutospacing="0" w:line="360" w:lineRule="auto"/>
        <w:jc w:val="right"/>
        <w:rPr>
          <w:sz w:val="20"/>
          <w:szCs w:val="20"/>
        </w:rPr>
      </w:pPr>
    </w:p>
    <w:p>
      <w:pPr>
        <w:pStyle w:val="4"/>
        <w:adjustRightInd w:val="0"/>
        <w:snapToGrid w:val="0"/>
        <w:spacing w:before="0" w:beforeAutospacing="0" w:after="0" w:afterAutospacing="0" w:line="360" w:lineRule="auto"/>
        <w:jc w:val="right"/>
        <w:rPr>
          <w:sz w:val="20"/>
          <w:szCs w:val="20"/>
        </w:rPr>
      </w:pPr>
      <w:r>
        <w:rPr>
          <w:rFonts w:hint="eastAsia"/>
          <w:sz w:val="20"/>
          <w:szCs w:val="20"/>
        </w:rPr>
        <w:t>部门公开表11</w:t>
      </w:r>
    </w:p>
    <w:p>
      <w:pPr>
        <w:widowControl/>
        <w:jc w:val="center"/>
        <w:rPr>
          <w:rFonts w:ascii="华文中宋" w:hAnsi="华文中宋" w:eastAsia="华文中宋" w:cs="宋体"/>
          <w:b/>
          <w:bCs/>
          <w:kern w:val="0"/>
          <w:sz w:val="32"/>
          <w:szCs w:val="32"/>
        </w:rPr>
      </w:pPr>
      <w:r>
        <w:rPr>
          <w:rFonts w:hint="eastAsia" w:ascii="华文中宋" w:hAnsi="华文中宋" w:eastAsia="华文中宋" w:cs="宋体"/>
          <w:b/>
          <w:bCs/>
          <w:kern w:val="0"/>
          <w:sz w:val="32"/>
          <w:szCs w:val="32"/>
        </w:rPr>
        <w:t>宿松县工商联2021年政府购买服务支出表</w:t>
      </w:r>
    </w:p>
    <w:p/>
    <w:p>
      <w:pPr>
        <w:pStyle w:val="4"/>
        <w:wordWrap w:val="0"/>
        <w:adjustRightInd w:val="0"/>
        <w:snapToGrid w:val="0"/>
        <w:spacing w:before="0" w:beforeAutospacing="0" w:after="0" w:afterAutospacing="0" w:line="360" w:lineRule="auto"/>
        <w:jc w:val="right"/>
        <w:rPr>
          <w:sz w:val="20"/>
          <w:szCs w:val="20"/>
        </w:rPr>
      </w:pPr>
      <w:r>
        <w:rPr>
          <w:sz w:val="20"/>
          <w:szCs w:val="20"/>
        </w:rPr>
        <w:t xml:space="preserve">   </w:t>
      </w:r>
      <w:r>
        <w:rPr>
          <w:rFonts w:hint="eastAsia"/>
          <w:sz w:val="20"/>
          <w:szCs w:val="20"/>
        </w:rPr>
        <w:t xml:space="preserve"> 单位：万元</w:t>
      </w:r>
    </w:p>
    <w:tbl>
      <w:tblPr>
        <w:tblStyle w:val="5"/>
        <w:tblW w:w="11228" w:type="dxa"/>
        <w:jc w:val="center"/>
        <w:tblLayout w:type="fixed"/>
        <w:tblCellMar>
          <w:top w:w="0" w:type="dxa"/>
          <w:left w:w="108" w:type="dxa"/>
          <w:bottom w:w="0" w:type="dxa"/>
          <w:right w:w="108" w:type="dxa"/>
        </w:tblCellMar>
      </w:tblPr>
      <w:tblGrid>
        <w:gridCol w:w="1062"/>
        <w:gridCol w:w="1026"/>
        <w:gridCol w:w="1160"/>
        <w:gridCol w:w="1160"/>
        <w:gridCol w:w="1420"/>
        <w:gridCol w:w="1000"/>
        <w:gridCol w:w="880"/>
        <w:gridCol w:w="880"/>
        <w:gridCol w:w="880"/>
        <w:gridCol w:w="880"/>
        <w:gridCol w:w="880"/>
      </w:tblGrid>
      <w:tr>
        <w:tblPrEx>
          <w:tblCellMar>
            <w:top w:w="0" w:type="dxa"/>
            <w:left w:w="108" w:type="dxa"/>
            <w:bottom w:w="0" w:type="dxa"/>
            <w:right w:w="108" w:type="dxa"/>
          </w:tblCellMar>
        </w:tblPrEx>
        <w:trPr>
          <w:trHeight w:val="900" w:hRule="atLeast"/>
          <w:jc w:val="center"/>
        </w:trPr>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项目名称</w:t>
            </w:r>
          </w:p>
        </w:tc>
        <w:tc>
          <w:tcPr>
            <w:tcW w:w="10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购买方式</w:t>
            </w: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购买服务起始时间</w:t>
            </w: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购买服务截至时间</w:t>
            </w:r>
          </w:p>
        </w:tc>
        <w:tc>
          <w:tcPr>
            <w:tcW w:w="14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拟实施政府购买服务内容（三级目录）</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合计</w:t>
            </w:r>
          </w:p>
        </w:tc>
        <w:tc>
          <w:tcPr>
            <w:tcW w:w="88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一般公共预算</w:t>
            </w:r>
          </w:p>
        </w:tc>
        <w:tc>
          <w:tcPr>
            <w:tcW w:w="88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政府性基金预算</w:t>
            </w:r>
          </w:p>
        </w:tc>
        <w:tc>
          <w:tcPr>
            <w:tcW w:w="88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国有资本经营预算</w:t>
            </w:r>
          </w:p>
        </w:tc>
        <w:tc>
          <w:tcPr>
            <w:tcW w:w="88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财政专户管理资金</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单位资金收入</w:t>
            </w:r>
          </w:p>
        </w:tc>
      </w:tr>
      <w:tr>
        <w:tblPrEx>
          <w:tblCellMar>
            <w:top w:w="0" w:type="dxa"/>
            <w:left w:w="108" w:type="dxa"/>
            <w:bottom w:w="0" w:type="dxa"/>
            <w:right w:w="108" w:type="dxa"/>
          </w:tblCellMar>
        </w:tblPrEx>
        <w:trPr>
          <w:trHeight w:val="465" w:hRule="atLeast"/>
          <w:jc w:val="center"/>
        </w:trPr>
        <w:tc>
          <w:tcPr>
            <w:tcW w:w="10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8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65" w:hRule="atLeast"/>
          <w:jc w:val="center"/>
        </w:trPr>
        <w:tc>
          <w:tcPr>
            <w:tcW w:w="1062"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26"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60"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60"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420"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00"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80"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80"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80"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80"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80"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65" w:hRule="atLeast"/>
          <w:jc w:val="center"/>
        </w:trPr>
        <w:tc>
          <w:tcPr>
            <w:tcW w:w="10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8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8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8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8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8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65" w:hRule="atLeast"/>
          <w:jc w:val="center"/>
        </w:trPr>
        <w:tc>
          <w:tcPr>
            <w:tcW w:w="1062"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宋体" w:hAnsi="宋体" w:eastAsia="宋体" w:cs="宋体"/>
                <w:kern w:val="0"/>
                <w:sz w:val="18"/>
                <w:szCs w:val="18"/>
              </w:rPr>
            </w:pPr>
          </w:p>
        </w:tc>
        <w:tc>
          <w:tcPr>
            <w:tcW w:w="1026"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kern w:val="0"/>
                <w:sz w:val="18"/>
                <w:szCs w:val="18"/>
              </w:rPr>
            </w:pPr>
          </w:p>
        </w:tc>
        <w:tc>
          <w:tcPr>
            <w:tcW w:w="1160"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kern w:val="0"/>
                <w:sz w:val="18"/>
                <w:szCs w:val="18"/>
              </w:rPr>
            </w:pPr>
          </w:p>
        </w:tc>
        <w:tc>
          <w:tcPr>
            <w:tcW w:w="1160"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kern w:val="0"/>
                <w:sz w:val="18"/>
                <w:szCs w:val="18"/>
              </w:rPr>
            </w:pPr>
          </w:p>
        </w:tc>
        <w:tc>
          <w:tcPr>
            <w:tcW w:w="1420"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kern w:val="0"/>
                <w:sz w:val="18"/>
                <w:szCs w:val="18"/>
              </w:rPr>
            </w:pPr>
          </w:p>
        </w:tc>
        <w:tc>
          <w:tcPr>
            <w:tcW w:w="1000"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kern w:val="0"/>
                <w:sz w:val="18"/>
                <w:szCs w:val="18"/>
              </w:rPr>
            </w:pPr>
          </w:p>
        </w:tc>
        <w:tc>
          <w:tcPr>
            <w:tcW w:w="880"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kern w:val="0"/>
                <w:sz w:val="18"/>
                <w:szCs w:val="18"/>
              </w:rPr>
            </w:pPr>
          </w:p>
        </w:tc>
        <w:tc>
          <w:tcPr>
            <w:tcW w:w="880"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kern w:val="0"/>
                <w:sz w:val="18"/>
                <w:szCs w:val="18"/>
              </w:rPr>
            </w:pPr>
          </w:p>
        </w:tc>
        <w:tc>
          <w:tcPr>
            <w:tcW w:w="880"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kern w:val="0"/>
                <w:sz w:val="18"/>
                <w:szCs w:val="18"/>
              </w:rPr>
            </w:pPr>
          </w:p>
        </w:tc>
        <w:tc>
          <w:tcPr>
            <w:tcW w:w="880"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kern w:val="0"/>
                <w:sz w:val="18"/>
                <w:szCs w:val="18"/>
              </w:rPr>
            </w:pPr>
          </w:p>
        </w:tc>
        <w:tc>
          <w:tcPr>
            <w:tcW w:w="880"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kern w:val="0"/>
                <w:sz w:val="18"/>
                <w:szCs w:val="18"/>
              </w:rPr>
            </w:pPr>
          </w:p>
        </w:tc>
      </w:tr>
    </w:tbl>
    <w:p>
      <w:pPr>
        <w:pStyle w:val="4"/>
        <w:adjustRightInd w:val="0"/>
        <w:snapToGrid w:val="0"/>
        <w:spacing w:before="0" w:beforeAutospacing="0" w:after="0" w:afterAutospacing="0" w:line="400" w:lineRule="exact"/>
        <w:jc w:val="both"/>
      </w:pPr>
      <w:r>
        <w:rPr>
          <w:rFonts w:hint="eastAsia"/>
        </w:rPr>
        <w:t>说明</w:t>
      </w:r>
      <w:r>
        <w:rPr>
          <w:rFonts w:hint="eastAsia"/>
          <w:color w:val="000000"/>
          <w:sz w:val="22"/>
        </w:rPr>
        <w:t>：</w:t>
      </w:r>
      <w:r>
        <w:rPr>
          <w:rFonts w:hint="eastAsia"/>
          <w:color w:val="000000"/>
          <w:szCs w:val="28"/>
        </w:rPr>
        <w:t>宿松县工商联</w:t>
      </w:r>
      <w:r>
        <w:rPr>
          <w:rFonts w:hint="eastAsia"/>
        </w:rPr>
        <w:t>没有使用一般公共预算拨款、政府性基金预算拨款、国有资本经营预算拨款、财政专户管理资金和单位资金安排的政府购买服务支出，故本表无数据。</w:t>
      </w:r>
    </w:p>
    <w:p>
      <w:pPr>
        <w:pStyle w:val="4"/>
        <w:adjustRightInd w:val="0"/>
        <w:snapToGrid w:val="0"/>
        <w:spacing w:before="0" w:beforeAutospacing="0" w:after="0" w:afterAutospacing="0" w:line="400" w:lineRule="exact"/>
        <w:jc w:val="both"/>
      </w:pPr>
    </w:p>
    <w:p>
      <w:pPr>
        <w:pStyle w:val="4"/>
        <w:adjustRightInd w:val="0"/>
        <w:snapToGrid w:val="0"/>
        <w:spacing w:before="0" w:beforeAutospacing="0" w:after="0" w:afterAutospacing="0" w:line="400" w:lineRule="exact"/>
        <w:jc w:val="both"/>
      </w:pPr>
    </w:p>
    <w:p>
      <w:pPr>
        <w:pStyle w:val="4"/>
        <w:adjustRightInd w:val="0"/>
        <w:snapToGrid w:val="0"/>
        <w:spacing w:before="0" w:beforeAutospacing="0" w:after="0" w:afterAutospacing="0" w:line="400" w:lineRule="exact"/>
        <w:jc w:val="both"/>
      </w:pPr>
    </w:p>
    <w:p>
      <w:pPr>
        <w:pStyle w:val="4"/>
        <w:adjustRightInd w:val="0"/>
        <w:snapToGrid w:val="0"/>
        <w:spacing w:before="0" w:beforeAutospacing="0" w:after="0" w:afterAutospacing="0" w:line="400" w:lineRule="exact"/>
        <w:jc w:val="both"/>
      </w:pPr>
    </w:p>
    <w:p>
      <w:pPr>
        <w:pStyle w:val="4"/>
        <w:adjustRightInd w:val="0"/>
        <w:snapToGrid w:val="0"/>
        <w:spacing w:before="0" w:beforeAutospacing="0" w:after="0" w:afterAutospacing="0" w:line="400" w:lineRule="exact"/>
        <w:jc w:val="both"/>
      </w:pPr>
    </w:p>
    <w:p>
      <w:pPr>
        <w:pStyle w:val="4"/>
        <w:adjustRightInd w:val="0"/>
        <w:snapToGrid w:val="0"/>
        <w:spacing w:before="0" w:beforeAutospacing="0" w:after="0" w:afterAutospacing="0" w:line="400" w:lineRule="exact"/>
        <w:jc w:val="both"/>
      </w:pPr>
    </w:p>
    <w:p>
      <w:pPr>
        <w:pStyle w:val="4"/>
        <w:adjustRightInd w:val="0"/>
        <w:snapToGrid w:val="0"/>
        <w:spacing w:before="0" w:beforeAutospacing="0" w:after="0" w:afterAutospacing="0" w:line="400" w:lineRule="exact"/>
        <w:jc w:val="both"/>
      </w:pPr>
    </w:p>
    <w:p>
      <w:pPr>
        <w:pStyle w:val="4"/>
        <w:adjustRightInd w:val="0"/>
        <w:snapToGrid w:val="0"/>
        <w:spacing w:before="0" w:beforeAutospacing="0" w:after="0" w:afterAutospacing="0" w:line="400" w:lineRule="exact"/>
        <w:jc w:val="both"/>
      </w:pPr>
    </w:p>
    <w:p>
      <w:pPr>
        <w:pStyle w:val="4"/>
        <w:adjustRightInd w:val="0"/>
        <w:snapToGrid w:val="0"/>
        <w:spacing w:before="0" w:beforeAutospacing="0" w:after="0" w:afterAutospacing="0" w:line="400" w:lineRule="exact"/>
        <w:jc w:val="both"/>
      </w:pPr>
    </w:p>
    <w:p>
      <w:pPr>
        <w:pStyle w:val="4"/>
        <w:adjustRightInd w:val="0"/>
        <w:snapToGrid w:val="0"/>
        <w:spacing w:before="0" w:beforeAutospacing="0" w:after="0" w:afterAutospacing="0" w:line="400" w:lineRule="exact"/>
        <w:jc w:val="both"/>
      </w:pPr>
    </w:p>
    <w:p>
      <w:pPr>
        <w:pStyle w:val="4"/>
        <w:adjustRightInd w:val="0"/>
        <w:snapToGrid w:val="0"/>
        <w:spacing w:before="0" w:beforeAutospacing="0" w:after="0" w:afterAutospacing="0" w:line="400" w:lineRule="exact"/>
        <w:jc w:val="both"/>
      </w:pPr>
    </w:p>
    <w:p>
      <w:pPr>
        <w:pStyle w:val="4"/>
        <w:adjustRightInd w:val="0"/>
        <w:snapToGrid w:val="0"/>
        <w:spacing w:before="0" w:beforeAutospacing="0" w:after="0" w:afterAutospacing="0" w:line="400" w:lineRule="exact"/>
        <w:jc w:val="both"/>
      </w:pPr>
    </w:p>
    <w:p>
      <w:pPr>
        <w:pStyle w:val="4"/>
        <w:adjustRightInd w:val="0"/>
        <w:snapToGrid w:val="0"/>
        <w:spacing w:before="0" w:beforeAutospacing="0" w:after="0" w:afterAutospacing="0" w:line="400" w:lineRule="exact"/>
        <w:jc w:val="both"/>
      </w:pPr>
    </w:p>
    <w:p>
      <w:pPr>
        <w:pStyle w:val="4"/>
        <w:adjustRightInd w:val="0"/>
        <w:snapToGrid w:val="0"/>
        <w:spacing w:before="0" w:beforeAutospacing="0" w:after="0" w:afterAutospacing="0" w:line="400" w:lineRule="exact"/>
        <w:jc w:val="both"/>
      </w:pPr>
    </w:p>
    <w:p>
      <w:pPr>
        <w:pStyle w:val="4"/>
        <w:adjustRightInd w:val="0"/>
        <w:snapToGrid w:val="0"/>
        <w:spacing w:before="0" w:beforeAutospacing="0" w:after="0" w:afterAutospacing="0" w:line="400" w:lineRule="exact"/>
        <w:jc w:val="both"/>
      </w:pPr>
    </w:p>
    <w:p>
      <w:pPr>
        <w:pStyle w:val="4"/>
        <w:adjustRightInd w:val="0"/>
        <w:snapToGrid w:val="0"/>
        <w:spacing w:before="0" w:beforeAutospacing="0" w:after="0" w:afterAutospacing="0" w:line="600" w:lineRule="exact"/>
        <w:jc w:val="center"/>
        <w:rPr>
          <w:rFonts w:ascii="黑体" w:hAnsi="黑体" w:eastAsia="黑体"/>
          <w:bCs/>
          <w:sz w:val="36"/>
          <w:szCs w:val="36"/>
        </w:rPr>
      </w:pPr>
      <w:r>
        <w:rPr>
          <w:rFonts w:hint="eastAsia" w:ascii="黑体" w:hAnsi="黑体" w:eastAsia="黑体"/>
          <w:bCs/>
          <w:sz w:val="36"/>
          <w:szCs w:val="36"/>
        </w:rPr>
        <w:t>第三部分 2021年部门预算情况说明</w:t>
      </w:r>
    </w:p>
    <w:p>
      <w:pPr>
        <w:pStyle w:val="4"/>
        <w:adjustRightInd w:val="0"/>
        <w:snapToGrid w:val="0"/>
        <w:spacing w:before="0" w:beforeAutospacing="0" w:after="0" w:afterAutospacing="0" w:line="600" w:lineRule="exact"/>
        <w:rPr>
          <w:rFonts w:ascii="黑体" w:hAnsi="黑体" w:eastAsia="黑体"/>
          <w:bCs/>
          <w:sz w:val="32"/>
          <w:szCs w:val="32"/>
        </w:rPr>
      </w:pPr>
    </w:p>
    <w:p>
      <w:pPr>
        <w:pStyle w:val="4"/>
        <w:adjustRightInd w:val="0"/>
        <w:snapToGrid w:val="0"/>
        <w:spacing w:before="0" w:beforeAutospacing="0" w:after="0" w:afterAutospacing="0" w:line="600" w:lineRule="exact"/>
        <w:ind w:firstLine="640" w:firstLineChars="200"/>
        <w:rPr>
          <w:rFonts w:ascii="黑体" w:hAnsi="仿宋" w:eastAsia="黑体"/>
          <w:color w:val="000000" w:themeColor="text1"/>
          <w:sz w:val="32"/>
          <w:szCs w:val="32"/>
          <w14:textFill>
            <w14:solidFill>
              <w14:schemeClr w14:val="tx1"/>
            </w14:solidFill>
          </w14:textFill>
        </w:rPr>
      </w:pPr>
      <w:r>
        <w:rPr>
          <w:rFonts w:hint="eastAsia" w:ascii="黑体" w:hAnsi="仿宋" w:eastAsia="黑体"/>
          <w:color w:val="000000" w:themeColor="text1"/>
          <w:sz w:val="32"/>
          <w:szCs w:val="32"/>
          <w14:textFill>
            <w14:solidFill>
              <w14:schemeClr w14:val="tx1"/>
            </w14:solidFill>
          </w14:textFill>
        </w:rPr>
        <w:t>一、关于2021年收支总表的说明</w:t>
      </w:r>
    </w:p>
    <w:p>
      <w:pPr>
        <w:pStyle w:val="4"/>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按照综合预算的原则，宿松县工商联所有收入和支出均纳入部门预算管理。宿松县工商联2021年收支总预算90.45万元，收入全部是一般公共预算拨款收入，</w:t>
      </w:r>
      <w:r>
        <w:rPr>
          <w:rFonts w:hint="eastAsia" w:ascii="仿宋" w:hAnsi="仿宋" w:eastAsia="仿宋" w:cs="仿宋"/>
          <w:kern w:val="2"/>
          <w:sz w:val="32"/>
          <w:szCs w:val="32"/>
        </w:rPr>
        <w:t>支出</w:t>
      </w:r>
      <w:r>
        <w:rPr>
          <w:rFonts w:hint="eastAsia" w:ascii="仿宋_GB2312" w:hAnsi="仿宋" w:eastAsia="仿宋_GB2312"/>
          <w:sz w:val="32"/>
          <w:szCs w:val="32"/>
        </w:rPr>
        <w:t>全部是</w:t>
      </w:r>
      <w:r>
        <w:rPr>
          <w:rFonts w:hint="eastAsia" w:ascii="仿宋" w:hAnsi="仿宋" w:eastAsia="仿宋" w:cs="仿宋"/>
          <w:kern w:val="2"/>
          <w:sz w:val="32"/>
          <w:szCs w:val="32"/>
        </w:rPr>
        <w:t>一般公共服务支出</w:t>
      </w:r>
      <w:r>
        <w:rPr>
          <w:rFonts w:hint="eastAsia" w:ascii="仿宋_GB2312" w:hAnsi="仿宋" w:eastAsia="仿宋_GB2312"/>
          <w:sz w:val="32"/>
          <w:szCs w:val="32"/>
        </w:rPr>
        <w:t>。</w:t>
      </w:r>
    </w:p>
    <w:p>
      <w:pPr>
        <w:pStyle w:val="4"/>
        <w:adjustRightInd w:val="0"/>
        <w:snapToGrid w:val="0"/>
        <w:spacing w:before="0" w:beforeAutospacing="0" w:after="0" w:afterAutospacing="0" w:line="600" w:lineRule="exact"/>
        <w:ind w:firstLine="627" w:firstLineChars="196"/>
        <w:rPr>
          <w:rFonts w:ascii="黑体" w:hAnsi="仿宋" w:eastAsia="黑体"/>
          <w:color w:val="000000" w:themeColor="text1"/>
          <w:sz w:val="32"/>
          <w:szCs w:val="32"/>
          <w14:textFill>
            <w14:solidFill>
              <w14:schemeClr w14:val="tx1"/>
            </w14:solidFill>
          </w14:textFill>
        </w:rPr>
      </w:pPr>
      <w:r>
        <w:rPr>
          <w:rFonts w:hint="eastAsia" w:ascii="黑体" w:hAnsi="仿宋" w:eastAsia="黑体"/>
          <w:color w:val="000000" w:themeColor="text1"/>
          <w:sz w:val="32"/>
          <w:szCs w:val="32"/>
          <w14:textFill>
            <w14:solidFill>
              <w14:schemeClr w14:val="tx1"/>
            </w14:solidFill>
          </w14:textFill>
        </w:rPr>
        <w:t>二、关于2021年收入总表的说明</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宿松县工商联2021年收入预算90.45万元，其中，本年收入90.45万元，上年结转结余0万元。</w:t>
      </w:r>
    </w:p>
    <w:p>
      <w:pPr>
        <w:widowControl/>
        <w:shd w:val="clear" w:color="auto" w:fill="FFFFFF"/>
        <w:spacing w:line="555" w:lineRule="atLeast"/>
        <w:ind w:firstLine="560"/>
        <w:jc w:val="left"/>
        <w:rPr>
          <w:rFonts w:ascii="仿宋_GB2312" w:hAnsi="仿宋" w:eastAsia="仿宋_GB2312"/>
          <w:sz w:val="32"/>
          <w:szCs w:val="32"/>
        </w:rPr>
      </w:pPr>
      <w:r>
        <w:rPr>
          <w:rFonts w:hint="eastAsia" w:ascii="仿宋_GB2312" w:hAnsi="仿宋" w:eastAsia="仿宋_GB2312"/>
          <w:sz w:val="32"/>
          <w:szCs w:val="32"/>
        </w:rPr>
        <w:t>（一）本年收入90.45万元，主要包括：一般公共预算拨款收入90.45万元，占</w:t>
      </w:r>
      <w:r>
        <w:rPr>
          <w:rFonts w:hint="eastAsia" w:ascii="仿宋" w:hAnsi="仿宋" w:eastAsia="仿宋" w:cs="仿宋"/>
          <w:sz w:val="32"/>
          <w:szCs w:val="32"/>
        </w:rPr>
        <w:t>100</w:t>
      </w:r>
      <w:r>
        <w:rPr>
          <w:rFonts w:hint="eastAsia" w:ascii="仿宋_GB2312" w:hAnsi="仿宋" w:eastAsia="仿宋_GB2312"/>
          <w:sz w:val="32"/>
          <w:szCs w:val="32"/>
        </w:rPr>
        <w:t>%，比2020年预算增长0.38万元，增长0.42%，增长原因主要是；机关事业单位基本养老保险缴费、职工基本医疗保险缴费增加。</w:t>
      </w:r>
    </w:p>
    <w:p>
      <w:pPr>
        <w:widowControl/>
        <w:shd w:val="clear" w:color="auto" w:fill="FFFFFF"/>
        <w:spacing w:line="555" w:lineRule="atLeast"/>
        <w:ind w:firstLine="560"/>
        <w:jc w:val="left"/>
        <w:rPr>
          <w:rFonts w:hint="eastAsia" w:ascii="仿宋_GB2312" w:hAnsi="仿宋" w:eastAsia="仿宋_GB2312"/>
          <w:sz w:val="32"/>
          <w:szCs w:val="32"/>
        </w:rPr>
      </w:pPr>
      <w:r>
        <w:rPr>
          <w:rFonts w:hint="eastAsia" w:ascii="仿宋_GB2312" w:hAnsi="仿宋" w:eastAsia="仿宋_GB2312"/>
          <w:sz w:val="32"/>
          <w:szCs w:val="32"/>
        </w:rPr>
        <w:t>（二）上年结转结余0万元。</w:t>
      </w:r>
    </w:p>
    <w:p>
      <w:pPr>
        <w:adjustRightInd w:val="0"/>
        <w:snapToGrid w:val="0"/>
        <w:spacing w:line="600" w:lineRule="exact"/>
        <w:ind w:firstLine="640" w:firstLineChars="200"/>
        <w:rPr>
          <w:rFonts w:ascii="黑体" w:hAnsi="仿宋" w:eastAsia="黑体" w:cs="宋体"/>
          <w:color w:val="000000" w:themeColor="text1"/>
          <w:kern w:val="0"/>
          <w:sz w:val="32"/>
          <w:szCs w:val="32"/>
          <w14:textFill>
            <w14:solidFill>
              <w14:schemeClr w14:val="tx1"/>
            </w14:solidFill>
          </w14:textFill>
        </w:rPr>
      </w:pPr>
      <w:r>
        <w:rPr>
          <w:rFonts w:hint="eastAsia" w:ascii="黑体" w:hAnsi="仿宋" w:eastAsia="黑体" w:cs="宋体"/>
          <w:color w:val="000000" w:themeColor="text1"/>
          <w:kern w:val="0"/>
          <w:sz w:val="32"/>
          <w:szCs w:val="32"/>
          <w14:textFill>
            <w14:solidFill>
              <w14:schemeClr w14:val="tx1"/>
            </w14:solidFill>
          </w14:textFill>
        </w:rPr>
        <w:t>三、关于2021年支出总表的说明</w:t>
      </w:r>
    </w:p>
    <w:p>
      <w:pPr>
        <w:adjustRightInd w:val="0"/>
        <w:snapToGrid w:val="0"/>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sz w:val="32"/>
          <w:szCs w:val="32"/>
        </w:rPr>
        <w:t>宿松县工商联</w:t>
      </w:r>
      <w:r>
        <w:rPr>
          <w:rFonts w:hint="eastAsia" w:ascii="仿宋_GB2312" w:hAnsi="仿宋" w:eastAsia="仿宋_GB2312" w:cs="Times New Roman"/>
          <w:sz w:val="32"/>
          <w:szCs w:val="32"/>
        </w:rPr>
        <w:t>2021年支出预算</w:t>
      </w:r>
      <w:r>
        <w:rPr>
          <w:rFonts w:hint="eastAsia" w:ascii="仿宋_GB2312" w:hAnsi="仿宋" w:eastAsia="仿宋_GB2312"/>
          <w:sz w:val="32"/>
          <w:szCs w:val="32"/>
        </w:rPr>
        <w:t>90.45</w:t>
      </w:r>
      <w:r>
        <w:rPr>
          <w:rFonts w:hint="eastAsia" w:ascii="仿宋_GB2312" w:hAnsi="仿宋" w:eastAsia="仿宋_GB2312" w:cs="Times New Roman"/>
          <w:sz w:val="32"/>
          <w:szCs w:val="32"/>
        </w:rPr>
        <w:t>万元，比2020年预算增加</w:t>
      </w:r>
      <w:r>
        <w:rPr>
          <w:rFonts w:hint="eastAsia" w:ascii="仿宋_GB2312" w:hAnsi="仿宋" w:eastAsia="仿宋_GB2312"/>
          <w:sz w:val="32"/>
          <w:szCs w:val="32"/>
        </w:rPr>
        <w:t>0.38</w:t>
      </w:r>
      <w:r>
        <w:rPr>
          <w:rFonts w:hint="eastAsia" w:ascii="仿宋_GB2312" w:hAnsi="仿宋" w:eastAsia="仿宋_GB2312" w:cs="Times New Roman"/>
          <w:sz w:val="32"/>
          <w:szCs w:val="32"/>
        </w:rPr>
        <w:t>万元，</w:t>
      </w:r>
      <w:r>
        <w:rPr>
          <w:rFonts w:hint="eastAsia" w:ascii="仿宋_GB2312" w:hAnsi="仿宋" w:eastAsia="仿宋_GB2312"/>
          <w:sz w:val="32"/>
          <w:szCs w:val="32"/>
        </w:rPr>
        <w:t>增长0.42%</w:t>
      </w:r>
      <w:r>
        <w:rPr>
          <w:rFonts w:hint="eastAsia" w:ascii="仿宋_GB2312" w:hAnsi="仿宋" w:eastAsia="仿宋_GB2312" w:cs="Times New Roman"/>
          <w:sz w:val="32"/>
          <w:szCs w:val="32"/>
        </w:rPr>
        <w:t>，</w:t>
      </w:r>
      <w:r>
        <w:rPr>
          <w:rFonts w:hint="eastAsia" w:ascii="仿宋_GB2312" w:hAnsi="仿宋" w:eastAsia="仿宋_GB2312"/>
          <w:sz w:val="32"/>
          <w:szCs w:val="32"/>
        </w:rPr>
        <w:t>增长原因主要是；机关事业单位基本养老保险缴费、职工基本医疗保险缴费增加。其中，基本支出90.45万元，占100%，主要用于保障机构日常运</w:t>
      </w:r>
      <w:r>
        <w:rPr>
          <w:rFonts w:hint="eastAsia" w:ascii="仿宋_GB2312" w:hAnsi="仿宋" w:eastAsia="仿宋_GB2312" w:cs="Times New Roman"/>
          <w:sz w:val="32"/>
          <w:szCs w:val="32"/>
        </w:rPr>
        <w:t>转、完成日常工作任务。</w:t>
      </w:r>
    </w:p>
    <w:p>
      <w:pPr>
        <w:adjustRightInd w:val="0"/>
        <w:snapToGrid w:val="0"/>
        <w:spacing w:line="600" w:lineRule="exact"/>
        <w:ind w:firstLine="640" w:firstLineChars="200"/>
        <w:rPr>
          <w:rFonts w:ascii="黑体" w:hAnsi="仿宋" w:eastAsia="黑体" w:cs="宋体"/>
          <w:color w:val="000000" w:themeColor="text1"/>
          <w:kern w:val="0"/>
          <w:sz w:val="32"/>
          <w:szCs w:val="32"/>
          <w14:textFill>
            <w14:solidFill>
              <w14:schemeClr w14:val="tx1"/>
            </w14:solidFill>
          </w14:textFill>
        </w:rPr>
      </w:pPr>
      <w:r>
        <w:rPr>
          <w:rFonts w:hint="eastAsia" w:ascii="黑体" w:hAnsi="仿宋" w:eastAsia="黑体" w:cs="宋体"/>
          <w:color w:val="000000" w:themeColor="text1"/>
          <w:kern w:val="0"/>
          <w:sz w:val="32"/>
          <w:szCs w:val="32"/>
          <w14:textFill>
            <w14:solidFill>
              <w14:schemeClr w14:val="tx1"/>
            </w14:solidFill>
          </w14:textFill>
        </w:rPr>
        <w:t>四、关于2021年财政拨款收支总表的说明</w:t>
      </w:r>
    </w:p>
    <w:p>
      <w:pPr>
        <w:pStyle w:val="4"/>
        <w:adjustRightInd w:val="0"/>
        <w:snapToGrid w:val="0"/>
        <w:spacing w:before="0" w:beforeAutospacing="0" w:after="0" w:afterAutospacing="0" w:line="600" w:lineRule="exact"/>
        <w:ind w:firstLine="640" w:firstLineChars="200"/>
        <w:rPr>
          <w:rFonts w:ascii="仿宋_GB2312" w:hAnsi="仿宋" w:eastAsia="仿宋_GB2312" w:cs="Times New Roman"/>
          <w:kern w:val="2"/>
          <w:sz w:val="32"/>
          <w:szCs w:val="32"/>
        </w:rPr>
      </w:pPr>
      <w:r>
        <w:rPr>
          <w:rFonts w:hint="eastAsia" w:ascii="仿宋_GB2312" w:hAnsi="仿宋" w:eastAsia="仿宋_GB2312"/>
          <w:sz w:val="32"/>
          <w:szCs w:val="32"/>
        </w:rPr>
        <w:t>宿松县工商联</w:t>
      </w:r>
      <w:r>
        <w:rPr>
          <w:rFonts w:hint="eastAsia" w:ascii="仿宋_GB2312" w:hAnsi="仿宋" w:eastAsia="仿宋_GB2312" w:cs="Times New Roman"/>
          <w:kern w:val="2"/>
          <w:sz w:val="32"/>
          <w:szCs w:val="32"/>
        </w:rPr>
        <w:t>2021年财政拨款收支预算</w:t>
      </w:r>
      <w:r>
        <w:rPr>
          <w:rFonts w:hint="eastAsia" w:ascii="仿宋_GB2312" w:hAnsi="仿宋" w:eastAsia="仿宋_GB2312"/>
          <w:sz w:val="32"/>
          <w:szCs w:val="32"/>
        </w:rPr>
        <w:t>90.45</w:t>
      </w:r>
      <w:r>
        <w:rPr>
          <w:rFonts w:hint="eastAsia" w:ascii="仿宋_GB2312" w:hAnsi="仿宋" w:eastAsia="仿宋_GB2312" w:cs="Times New Roman"/>
          <w:kern w:val="2"/>
          <w:sz w:val="32"/>
          <w:szCs w:val="32"/>
        </w:rPr>
        <w:t>万元。收入按资金来源全部为一般公共预算拨款；按资金年度分为：本年财政拨款收入</w:t>
      </w:r>
      <w:r>
        <w:rPr>
          <w:rFonts w:ascii="仿宋_GB2312" w:hAnsi="仿宋" w:eastAsia="仿宋_GB2312" w:cs="Times New Roman"/>
          <w:kern w:val="2"/>
          <w:sz w:val="32"/>
          <w:szCs w:val="32"/>
        </w:rPr>
        <w:t>90.45</w:t>
      </w:r>
      <w:r>
        <w:rPr>
          <w:rFonts w:hint="eastAsia" w:ascii="仿宋_GB2312" w:hAnsi="仿宋" w:eastAsia="仿宋_GB2312" w:cs="Times New Roman"/>
          <w:kern w:val="2"/>
          <w:sz w:val="32"/>
          <w:szCs w:val="32"/>
        </w:rPr>
        <w:t>万元，上年结转</w:t>
      </w:r>
      <w:r>
        <w:rPr>
          <w:rFonts w:ascii="仿宋_GB2312" w:hAnsi="仿宋" w:eastAsia="仿宋_GB2312" w:cs="Times New Roman"/>
          <w:kern w:val="2"/>
          <w:sz w:val="32"/>
          <w:szCs w:val="32"/>
        </w:rPr>
        <w:t>0</w:t>
      </w:r>
      <w:r>
        <w:rPr>
          <w:rFonts w:hint="eastAsia" w:ascii="仿宋_GB2312" w:hAnsi="仿宋" w:eastAsia="仿宋_GB2312" w:cs="Times New Roman"/>
          <w:kern w:val="2"/>
          <w:sz w:val="32"/>
          <w:szCs w:val="32"/>
        </w:rPr>
        <w:t>万元。支出按功能分类全部为一般公共服务支出</w:t>
      </w:r>
      <w:r>
        <w:rPr>
          <w:rFonts w:hint="eastAsia" w:ascii="仿宋_GB2312" w:hAnsi="仿宋" w:eastAsia="仿宋_GB2312"/>
          <w:sz w:val="32"/>
          <w:szCs w:val="32"/>
        </w:rPr>
        <w:t>90.45</w:t>
      </w:r>
      <w:r>
        <w:rPr>
          <w:rFonts w:hint="eastAsia" w:ascii="仿宋_GB2312" w:hAnsi="仿宋" w:eastAsia="仿宋_GB2312" w:cs="Times New Roman"/>
          <w:kern w:val="2"/>
          <w:sz w:val="32"/>
          <w:szCs w:val="32"/>
        </w:rPr>
        <w:t>万元，占100%。</w:t>
      </w:r>
    </w:p>
    <w:p>
      <w:pPr>
        <w:pStyle w:val="4"/>
        <w:adjustRightInd w:val="0"/>
        <w:snapToGrid w:val="0"/>
        <w:spacing w:before="0" w:beforeAutospacing="0" w:after="0" w:afterAutospacing="0" w:line="600" w:lineRule="exact"/>
        <w:ind w:firstLine="640" w:firstLineChars="200"/>
        <w:rPr>
          <w:rFonts w:ascii="黑体" w:hAnsi="仿宋" w:eastAsia="黑体"/>
          <w:color w:val="000000" w:themeColor="text1"/>
          <w:sz w:val="32"/>
          <w:szCs w:val="32"/>
          <w14:textFill>
            <w14:solidFill>
              <w14:schemeClr w14:val="tx1"/>
            </w14:solidFill>
          </w14:textFill>
        </w:rPr>
      </w:pPr>
      <w:r>
        <w:rPr>
          <w:rFonts w:hint="eastAsia" w:ascii="黑体" w:hAnsi="仿宋" w:eastAsia="黑体"/>
          <w:color w:val="000000" w:themeColor="text1"/>
          <w:sz w:val="32"/>
          <w:szCs w:val="32"/>
          <w14:textFill>
            <w14:solidFill>
              <w14:schemeClr w14:val="tx1"/>
            </w14:solidFill>
          </w14:textFill>
        </w:rPr>
        <w:t>五、关于2021年一般公共预算支出表的说明</w:t>
      </w:r>
    </w:p>
    <w:p>
      <w:pPr>
        <w:pStyle w:val="4"/>
        <w:adjustRightInd w:val="0"/>
        <w:snapToGrid w:val="0"/>
        <w:spacing w:before="0" w:beforeAutospacing="0" w:after="0" w:afterAutospacing="0" w:line="600" w:lineRule="exact"/>
        <w:ind w:firstLine="630" w:firstLineChars="196"/>
        <w:rPr>
          <w:rFonts w:ascii="楷体_GB2312" w:hAnsi="仿宋" w:eastAsia="楷体_GB2312" w:cs="Times New Roman"/>
          <w:b/>
          <w:kern w:val="2"/>
          <w:sz w:val="32"/>
          <w:szCs w:val="32"/>
        </w:rPr>
      </w:pPr>
      <w:r>
        <w:rPr>
          <w:rFonts w:hint="eastAsia" w:ascii="楷体_GB2312" w:hAnsi="仿宋" w:eastAsia="楷体_GB2312" w:cs="Times New Roman"/>
          <w:b/>
          <w:kern w:val="2"/>
          <w:sz w:val="32"/>
          <w:szCs w:val="32"/>
        </w:rPr>
        <w:t>（一）一般公共预算支出规模变化情况。</w:t>
      </w:r>
    </w:p>
    <w:p>
      <w:pPr>
        <w:pStyle w:val="4"/>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仿宋_GB2312" w:hAnsi="仿宋" w:eastAsia="仿宋_GB2312"/>
          <w:sz w:val="32"/>
          <w:szCs w:val="32"/>
        </w:rPr>
        <w:t>宿松县工商联</w:t>
      </w:r>
      <w:r>
        <w:rPr>
          <w:rFonts w:hint="eastAsia" w:ascii="仿宋_GB2312" w:hAnsi="仿宋" w:eastAsia="仿宋_GB2312" w:cs="Times New Roman"/>
          <w:kern w:val="2"/>
          <w:sz w:val="32"/>
          <w:szCs w:val="32"/>
        </w:rPr>
        <w:t>2021年一般公共预算支出</w:t>
      </w:r>
      <w:r>
        <w:rPr>
          <w:rFonts w:hint="eastAsia" w:ascii="仿宋_GB2312" w:hAnsi="仿宋" w:eastAsia="仿宋_GB2312"/>
          <w:sz w:val="32"/>
          <w:szCs w:val="32"/>
        </w:rPr>
        <w:t>90.45</w:t>
      </w:r>
      <w:r>
        <w:rPr>
          <w:rFonts w:hint="eastAsia" w:ascii="仿宋_GB2312" w:hAnsi="仿宋" w:eastAsia="仿宋_GB2312" w:cs="Times New Roman"/>
          <w:kern w:val="2"/>
          <w:sz w:val="32"/>
          <w:szCs w:val="32"/>
        </w:rPr>
        <w:t>万元，比2020年预算增加</w:t>
      </w:r>
      <w:r>
        <w:rPr>
          <w:rFonts w:hint="eastAsia" w:ascii="仿宋_GB2312" w:hAnsi="仿宋" w:eastAsia="仿宋_GB2312"/>
          <w:sz w:val="32"/>
          <w:szCs w:val="32"/>
        </w:rPr>
        <w:t>0.38</w:t>
      </w:r>
      <w:r>
        <w:rPr>
          <w:rFonts w:hint="eastAsia" w:ascii="仿宋_GB2312" w:hAnsi="仿宋" w:eastAsia="仿宋_GB2312" w:cs="Times New Roman"/>
          <w:kern w:val="2"/>
          <w:sz w:val="32"/>
          <w:szCs w:val="32"/>
        </w:rPr>
        <w:t>万元，增长</w:t>
      </w:r>
      <w:r>
        <w:rPr>
          <w:rFonts w:hint="eastAsia" w:ascii="仿宋_GB2312" w:hAnsi="仿宋" w:eastAsia="仿宋_GB2312"/>
          <w:sz w:val="32"/>
          <w:szCs w:val="32"/>
        </w:rPr>
        <w:t>0.42%</w:t>
      </w:r>
      <w:r>
        <w:rPr>
          <w:rFonts w:hint="eastAsia" w:ascii="仿宋_GB2312" w:hAnsi="仿宋" w:eastAsia="仿宋_GB2312" w:cs="Times New Roman"/>
          <w:kern w:val="2"/>
          <w:sz w:val="32"/>
          <w:szCs w:val="32"/>
        </w:rPr>
        <w:t>，主要原因：机关事业单位基本养老保险缴费、职工基本医疗保险缴费增加。</w:t>
      </w:r>
    </w:p>
    <w:p>
      <w:pPr>
        <w:pStyle w:val="4"/>
        <w:adjustRightInd w:val="0"/>
        <w:snapToGrid w:val="0"/>
        <w:spacing w:before="0" w:beforeAutospacing="0" w:after="0" w:afterAutospacing="0" w:line="600" w:lineRule="exact"/>
        <w:ind w:firstLine="630" w:firstLineChars="196"/>
        <w:rPr>
          <w:rFonts w:ascii="楷体_GB2312" w:hAnsi="仿宋" w:eastAsia="楷体_GB2312" w:cs="Times New Roman"/>
          <w:b/>
          <w:kern w:val="2"/>
          <w:sz w:val="32"/>
          <w:szCs w:val="32"/>
        </w:rPr>
      </w:pPr>
      <w:r>
        <w:rPr>
          <w:rFonts w:hint="eastAsia" w:ascii="楷体_GB2312" w:hAnsi="仿宋" w:eastAsia="楷体_GB2312" w:cs="Times New Roman"/>
          <w:b/>
          <w:kern w:val="2"/>
          <w:sz w:val="32"/>
          <w:szCs w:val="32"/>
        </w:rPr>
        <w:t>（二</w:t>
      </w:r>
      <w:r>
        <w:rPr>
          <w:rFonts w:ascii="楷体_GB2312" w:hAnsi="仿宋" w:eastAsia="楷体_GB2312" w:cs="Times New Roman"/>
          <w:b/>
          <w:kern w:val="2"/>
          <w:sz w:val="32"/>
          <w:szCs w:val="32"/>
        </w:rPr>
        <w:t>）</w:t>
      </w:r>
      <w:r>
        <w:rPr>
          <w:rFonts w:hint="eastAsia" w:ascii="楷体_GB2312" w:hAnsi="仿宋" w:eastAsia="楷体_GB2312" w:cs="Times New Roman"/>
          <w:b/>
          <w:kern w:val="2"/>
          <w:sz w:val="32"/>
          <w:szCs w:val="32"/>
        </w:rPr>
        <w:t>一般公共预算支出结构情况。</w:t>
      </w:r>
    </w:p>
    <w:p>
      <w:pPr>
        <w:pStyle w:val="4"/>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一般公共服务支出</w:t>
      </w:r>
      <w:r>
        <w:rPr>
          <w:rFonts w:hint="eastAsia" w:ascii="仿宋_GB2312" w:hAnsi="仿宋" w:eastAsia="仿宋_GB2312"/>
          <w:sz w:val="32"/>
          <w:szCs w:val="32"/>
        </w:rPr>
        <w:t>90.45</w:t>
      </w:r>
      <w:r>
        <w:rPr>
          <w:rFonts w:hint="eastAsia" w:ascii="仿宋_GB2312" w:hAnsi="仿宋" w:eastAsia="仿宋_GB2312" w:cs="Times New Roman"/>
          <w:kern w:val="2"/>
          <w:sz w:val="32"/>
          <w:szCs w:val="32"/>
        </w:rPr>
        <w:t>万元，占100%。</w:t>
      </w:r>
    </w:p>
    <w:p>
      <w:pPr>
        <w:adjustRightInd w:val="0"/>
        <w:snapToGrid w:val="0"/>
        <w:spacing w:line="600" w:lineRule="exact"/>
        <w:ind w:firstLine="643" w:firstLineChars="200"/>
        <w:rPr>
          <w:rFonts w:ascii="楷体_GB2312" w:hAnsi="仿宋" w:eastAsia="楷体_GB2312"/>
          <w:b/>
          <w:sz w:val="32"/>
          <w:szCs w:val="32"/>
        </w:rPr>
      </w:pPr>
      <w:r>
        <w:rPr>
          <w:rFonts w:hint="eastAsia" w:ascii="楷体_GB2312" w:hAnsi="仿宋" w:eastAsia="楷体_GB2312"/>
          <w:b/>
          <w:sz w:val="32"/>
          <w:szCs w:val="32"/>
        </w:rPr>
        <w:t>（三）一般公共预算支出具体使用情况。</w:t>
      </w:r>
    </w:p>
    <w:p>
      <w:pPr>
        <w:adjustRightInd w:val="0"/>
        <w:snapToGrid w:val="0"/>
        <w:spacing w:line="600" w:lineRule="exact"/>
        <w:ind w:firstLine="643" w:firstLineChars="200"/>
        <w:rPr>
          <w:rFonts w:ascii="仿宋_GB2312" w:hAnsi="仿宋" w:eastAsia="仿宋_GB2312"/>
          <w:sz w:val="32"/>
          <w:szCs w:val="32"/>
        </w:rPr>
      </w:pPr>
      <w:r>
        <w:rPr>
          <w:rFonts w:hint="eastAsia" w:ascii="仿宋_GB2312" w:hAnsi="仿宋" w:eastAsia="仿宋_GB2312"/>
          <w:b/>
          <w:sz w:val="32"/>
          <w:szCs w:val="32"/>
        </w:rPr>
        <w:t>1.</w:t>
      </w:r>
      <w:r>
        <w:rPr>
          <w:rFonts w:hint="eastAsia" w:ascii="仿宋_GB2312" w:hAnsi="仿宋"/>
          <w:b/>
          <w:szCs w:val="32"/>
        </w:rPr>
        <w:t xml:space="preserve"> </w:t>
      </w:r>
      <w:r>
        <w:rPr>
          <w:rFonts w:hint="eastAsia" w:ascii="仿宋_GB2312" w:hAnsi="仿宋" w:eastAsia="仿宋_GB2312"/>
          <w:b/>
          <w:sz w:val="32"/>
          <w:szCs w:val="32"/>
        </w:rPr>
        <w:t>一般公共服务支出（类）民主党派及工商联事务（款）行政运行（项）</w:t>
      </w:r>
      <w:r>
        <w:rPr>
          <w:rFonts w:hint="eastAsia" w:ascii="仿宋_GB2312" w:hAnsi="仿宋" w:eastAsia="仿宋_GB2312"/>
          <w:sz w:val="32"/>
          <w:szCs w:val="32"/>
        </w:rPr>
        <w:t>2021年预算90.45万元，比2020年预算增加0.38</w:t>
      </w:r>
      <w:r>
        <w:rPr>
          <w:rFonts w:hint="eastAsia" w:ascii="仿宋_GB2312" w:hAnsi="仿宋" w:eastAsia="仿宋_GB2312" w:cs="Times New Roman"/>
          <w:sz w:val="32"/>
          <w:szCs w:val="32"/>
        </w:rPr>
        <w:t>万元，增长</w:t>
      </w:r>
      <w:r>
        <w:rPr>
          <w:rFonts w:hint="eastAsia" w:ascii="仿宋_GB2312" w:hAnsi="仿宋" w:eastAsia="仿宋_GB2312"/>
          <w:sz w:val="32"/>
          <w:szCs w:val="32"/>
        </w:rPr>
        <w:t>0.42%</w:t>
      </w:r>
      <w:r>
        <w:rPr>
          <w:rFonts w:hint="eastAsia" w:ascii="仿宋_GB2312" w:hAnsi="仿宋" w:eastAsia="仿宋_GB2312" w:cs="Times New Roman"/>
          <w:sz w:val="32"/>
          <w:szCs w:val="32"/>
        </w:rPr>
        <w:t>，主要原因：机关事业单位基本养老保险缴费、职工基本医疗保险缴费增加。</w:t>
      </w:r>
    </w:p>
    <w:p>
      <w:pPr>
        <w:pStyle w:val="4"/>
        <w:adjustRightInd w:val="0"/>
        <w:snapToGrid w:val="0"/>
        <w:spacing w:before="0" w:beforeAutospacing="0" w:after="0" w:afterAutospacing="0" w:line="600" w:lineRule="exact"/>
        <w:ind w:firstLine="640" w:firstLineChars="200"/>
        <w:rPr>
          <w:rFonts w:ascii="黑体" w:eastAsia="黑体"/>
          <w:color w:val="000000" w:themeColor="text1"/>
          <w14:textFill>
            <w14:solidFill>
              <w14:schemeClr w14:val="tx1"/>
            </w14:solidFill>
          </w14:textFill>
        </w:rPr>
      </w:pPr>
      <w:r>
        <w:rPr>
          <w:rFonts w:hint="eastAsia" w:ascii="黑体" w:hAnsi="仿宋" w:eastAsia="黑体" w:cs="Times New Roman"/>
          <w:color w:val="000000" w:themeColor="text1"/>
          <w:kern w:val="2"/>
          <w:sz w:val="32"/>
          <w:szCs w:val="32"/>
          <w14:textFill>
            <w14:solidFill>
              <w14:schemeClr w14:val="tx1"/>
            </w14:solidFill>
          </w14:textFill>
        </w:rPr>
        <w:t>六、关于2021年一般公共预算基本支出表的说明</w:t>
      </w:r>
    </w:p>
    <w:p>
      <w:pPr>
        <w:ind w:firstLine="640" w:firstLineChars="200"/>
        <w:rPr>
          <w:rFonts w:ascii="仿宋_GB2312" w:hAnsi="仿宋" w:eastAsia="仿宋_GB2312"/>
          <w:sz w:val="32"/>
          <w:szCs w:val="32"/>
        </w:rPr>
      </w:pPr>
      <w:r>
        <w:rPr>
          <w:rFonts w:hint="eastAsia" w:ascii="仿宋_GB2312" w:hAnsi="仿宋" w:eastAsia="仿宋_GB2312"/>
          <w:sz w:val="32"/>
          <w:szCs w:val="32"/>
        </w:rPr>
        <w:t>宿松县工商联2021年一般公共预算基本支出90.45万元，其中，人员经费49.80万元，公用经费40.65万元。</w:t>
      </w:r>
    </w:p>
    <w:p>
      <w:pPr>
        <w:ind w:firstLine="640" w:firstLineChars="200"/>
        <w:rPr>
          <w:rFonts w:ascii="仿宋_GB2312" w:hAnsi="仿宋" w:eastAsia="仿宋_GB2312"/>
          <w:sz w:val="32"/>
          <w:szCs w:val="32"/>
        </w:rPr>
      </w:pPr>
      <w:r>
        <w:rPr>
          <w:rFonts w:hint="eastAsia" w:ascii="仿宋_GB2312" w:hAnsi="仿宋" w:eastAsia="仿宋_GB2312"/>
          <w:sz w:val="32"/>
          <w:szCs w:val="32"/>
        </w:rPr>
        <w:t>（一）人员经费49.80万元，主要包括:基本工资、津贴补贴、奖金、伙食补助费、绩效工资、机关事业单位基本养老保险费、职业年金缴费、职工基本医疗保险缴费、公务员医疗补助缴费、其他社会保障缴费、住房公积金、医疗费、其他工资福利支出、生活补助、医疗费补助。</w:t>
      </w:r>
    </w:p>
    <w:p>
      <w:pPr>
        <w:ind w:firstLine="640" w:firstLineChars="200"/>
        <w:rPr>
          <w:rFonts w:ascii="仿宋_GB2312" w:hAnsi="仿宋" w:eastAsia="仿宋_GB2312"/>
          <w:sz w:val="32"/>
          <w:szCs w:val="32"/>
        </w:rPr>
      </w:pPr>
      <w:r>
        <w:rPr>
          <w:rFonts w:hint="eastAsia" w:ascii="仿宋_GB2312" w:hAnsi="仿宋" w:eastAsia="仿宋_GB2312"/>
          <w:sz w:val="32"/>
          <w:szCs w:val="32"/>
        </w:rPr>
        <w:t>（二）公用经费40.65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其他商品服务支出。</w:t>
      </w:r>
    </w:p>
    <w:p>
      <w:pPr>
        <w:pStyle w:val="4"/>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七、关于2021年政府性基金预算支出表的说明</w:t>
      </w:r>
    </w:p>
    <w:p>
      <w:pPr>
        <w:pStyle w:val="4"/>
        <w:adjustRightInd w:val="0"/>
        <w:snapToGrid w:val="0"/>
        <w:spacing w:before="0" w:beforeAutospacing="0" w:after="0" w:afterAutospacing="0"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宿松县工商联2021年没有政府性基金预算拨款收入，也没有使用政府性基金预算拨款安排的支出。</w:t>
      </w:r>
    </w:p>
    <w:p>
      <w:pPr>
        <w:pStyle w:val="4"/>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八、关于2021年国有资本经营预算支出表的说明</w:t>
      </w:r>
    </w:p>
    <w:p>
      <w:pPr>
        <w:pStyle w:val="4"/>
        <w:adjustRightInd w:val="0"/>
        <w:snapToGrid w:val="0"/>
        <w:spacing w:before="0" w:beforeAutospacing="0" w:after="0" w:afterAutospacing="0"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宿松县工商联2021年没有国有资本经营预算拨款收入，也没有使用国有资本经营预算拨款安排的支出。</w:t>
      </w:r>
    </w:p>
    <w:p>
      <w:pPr>
        <w:pStyle w:val="4"/>
        <w:adjustRightInd w:val="0"/>
        <w:snapToGrid w:val="0"/>
        <w:spacing w:before="0" w:beforeAutospacing="0" w:after="0" w:afterAutospacing="0" w:line="600" w:lineRule="exact"/>
        <w:ind w:firstLine="640" w:firstLineChars="200"/>
        <w:rPr>
          <w:rFonts w:ascii="楷体_GB2312" w:hAnsi="仿宋" w:eastAsia="楷体_GB2312" w:cs="Times New Roman"/>
          <w:color w:val="FF0000"/>
          <w:kern w:val="2"/>
          <w:sz w:val="32"/>
          <w:szCs w:val="32"/>
        </w:rPr>
      </w:pPr>
      <w:r>
        <w:rPr>
          <w:rFonts w:hint="eastAsia" w:ascii="黑体" w:hAnsi="仿宋" w:eastAsia="黑体"/>
          <w:sz w:val="32"/>
          <w:szCs w:val="32"/>
        </w:rPr>
        <w:t>九、关于2021年项目支出表的说明</w:t>
      </w:r>
    </w:p>
    <w:p>
      <w:pPr>
        <w:pStyle w:val="4"/>
        <w:adjustRightInd w:val="0"/>
        <w:snapToGrid w:val="0"/>
        <w:spacing w:before="0" w:beforeAutospacing="0" w:after="0" w:afterAutospacing="0"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宿松县工商联2021年没有使用一般公共预算拨款、政府性基金预算拨款、国有资本经营预算拨款、财政专户管理资金和单位资金安排的项目支出。</w:t>
      </w:r>
    </w:p>
    <w:p>
      <w:pPr>
        <w:pStyle w:val="4"/>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十、关于2021年政府采购支出表的说明</w:t>
      </w:r>
    </w:p>
    <w:p>
      <w:pPr>
        <w:pStyle w:val="4"/>
        <w:adjustRightInd w:val="0"/>
        <w:snapToGrid w:val="0"/>
        <w:spacing w:before="0" w:beforeAutospacing="0" w:after="0" w:afterAutospacing="0" w:line="60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宿松县工商联2021年没有使用一般公共预算拨款、政府性基金预算拨款、国有资本经营预算拨款、财政专户管理资金和单位资金安排的政府采购支出。</w:t>
      </w:r>
    </w:p>
    <w:p>
      <w:pPr>
        <w:pStyle w:val="4"/>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十一、关于2021年政府购买服务支出表的说明</w:t>
      </w:r>
    </w:p>
    <w:p>
      <w:pPr>
        <w:pStyle w:val="4"/>
        <w:adjustRightInd w:val="0"/>
        <w:snapToGrid w:val="0"/>
        <w:spacing w:before="0" w:beforeAutospacing="0" w:after="0" w:afterAutospacing="0" w:line="60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宿松县工商联2021年没有使用一般公共预算拨款、政府性基金预算拨款、国有资本经营预算拨款、财政专户管理资金和单位资金安排的政府购买服务支出。</w:t>
      </w:r>
    </w:p>
    <w:p>
      <w:pPr>
        <w:numPr>
          <w:ilvl w:val="0"/>
          <w:numId w:val="1"/>
        </w:num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其他重要事项情况说明</w:t>
      </w:r>
    </w:p>
    <w:p>
      <w:pPr>
        <w:adjustRightInd w:val="0"/>
        <w:snapToGrid w:val="0"/>
        <w:spacing w:line="600" w:lineRule="exact"/>
        <w:ind w:firstLine="640" w:firstLineChars="200"/>
        <w:rPr>
          <w:rFonts w:ascii="仿宋_GB2312" w:hAnsi="楷体" w:eastAsia="仿宋_GB2312"/>
          <w:b/>
          <w:sz w:val="32"/>
          <w:szCs w:val="32"/>
        </w:rPr>
      </w:pPr>
      <w:r>
        <w:rPr>
          <w:rFonts w:hint="eastAsia" w:ascii="黑体" w:hAnsi="黑体" w:eastAsia="黑体"/>
          <w:sz w:val="32"/>
          <w:szCs w:val="32"/>
        </w:rPr>
        <w:t xml:space="preserve"> </w:t>
      </w:r>
      <w:r>
        <w:rPr>
          <w:rFonts w:hint="eastAsia" w:ascii="仿宋_GB2312" w:hAnsi="楷体" w:eastAsia="仿宋_GB2312"/>
          <w:b/>
          <w:sz w:val="32"/>
          <w:szCs w:val="32"/>
        </w:rPr>
        <w:t>（一）绩效目标设置情况。</w:t>
      </w:r>
    </w:p>
    <w:p>
      <w:pPr>
        <w:adjustRightInd w:val="0"/>
        <w:snapToGrid w:val="0"/>
        <w:spacing w:line="600" w:lineRule="exact"/>
        <w:ind w:firstLine="640" w:firstLineChars="200"/>
        <w:rPr>
          <w:rFonts w:ascii="仿宋_GB2312" w:hAnsi="楷体" w:eastAsia="仿宋_GB2312"/>
          <w:sz w:val="32"/>
          <w:szCs w:val="32"/>
        </w:rPr>
      </w:pPr>
      <w:r>
        <w:rPr>
          <w:rFonts w:hint="eastAsia" w:ascii="黑体" w:hAnsi="黑体" w:eastAsia="黑体"/>
          <w:sz w:val="32"/>
          <w:szCs w:val="32"/>
        </w:rPr>
        <w:t xml:space="preserve">  </w:t>
      </w:r>
      <w:r>
        <w:rPr>
          <w:rFonts w:hint="eastAsia" w:ascii="仿宋_GB2312" w:hAnsi="仿宋" w:eastAsia="仿宋_GB2312"/>
          <w:bCs/>
          <w:sz w:val="32"/>
          <w:szCs w:val="32"/>
        </w:rPr>
        <w:t>宿松县</w:t>
      </w:r>
      <w:r>
        <w:rPr>
          <w:rFonts w:hint="eastAsia" w:ascii="仿宋_GB2312" w:hAnsi="仿宋" w:eastAsia="仿宋_GB2312"/>
          <w:sz w:val="32"/>
          <w:szCs w:val="32"/>
        </w:rPr>
        <w:t>工商联</w:t>
      </w:r>
      <w:r>
        <w:rPr>
          <w:rFonts w:hint="eastAsia" w:ascii="仿宋_GB2312" w:hAnsi="楷体" w:eastAsia="仿宋_GB2312"/>
          <w:sz w:val="32"/>
          <w:szCs w:val="32"/>
        </w:rPr>
        <w:t xml:space="preserve"> 2021年部门预算按规定设置整体支出绩效目标，实行部门评价。</w:t>
      </w:r>
    </w:p>
    <w:p>
      <w:pPr>
        <w:adjustRightInd w:val="0"/>
        <w:snapToGrid w:val="0"/>
        <w:spacing w:line="600" w:lineRule="exact"/>
        <w:ind w:firstLine="640" w:firstLineChars="200"/>
        <w:rPr>
          <w:rFonts w:ascii="仿宋_GB2312" w:hAnsi="楷体" w:eastAsia="仿宋_GB2312"/>
          <w:b/>
          <w:sz w:val="32"/>
          <w:szCs w:val="32"/>
        </w:rPr>
      </w:pPr>
      <w:r>
        <w:rPr>
          <w:rFonts w:hint="eastAsia" w:ascii="黑体" w:hAnsi="黑体" w:eastAsia="黑体"/>
          <w:sz w:val="32"/>
          <w:szCs w:val="32"/>
        </w:rPr>
        <w:t>1、</w:t>
      </w:r>
      <w:r>
        <w:rPr>
          <w:rFonts w:hint="eastAsia" w:ascii="仿宋_GB2312" w:hAnsi="楷体" w:eastAsia="仿宋_GB2312"/>
          <w:b/>
          <w:sz w:val="32"/>
          <w:szCs w:val="32"/>
        </w:rPr>
        <w:t>部门整体支出绩效目标设置情况。</w:t>
      </w:r>
    </w:p>
    <w:p>
      <w:pPr>
        <w:spacing w:line="600" w:lineRule="exact"/>
        <w:ind w:firstLine="642"/>
        <w:rPr>
          <w:rFonts w:ascii="仿宋_GB2312" w:hAnsi="楷体" w:eastAsia="仿宋_GB2312"/>
          <w:b/>
          <w:bCs/>
          <w:sz w:val="32"/>
          <w:szCs w:val="32"/>
        </w:rPr>
      </w:pPr>
      <w:r>
        <w:rPr>
          <w:rFonts w:hint="eastAsia" w:ascii="仿宋_GB2312" w:hAnsi="楷体" w:eastAsia="仿宋_GB2312"/>
          <w:b/>
          <w:bCs/>
          <w:sz w:val="32"/>
          <w:szCs w:val="32"/>
        </w:rPr>
        <w:t>（1）部门概述及工作职责。</w:t>
      </w: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rPr>
        <w:t>部门概述：宿松县工商联是本级预算单位，参照公务员管理、财政实行全额拨款、独立核算。内设1个办公室,在职5人、退休1人。2020年度部门预算包括本单位，纳入部门预算编制范围的单位共1个。</w:t>
      </w: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rPr>
        <w:t>工作职责：</w:t>
      </w: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rPr>
        <w:t>（一）团结、服务、引导、教育非公有制经济人士爱国、敬业、诚信、守法、贡献，培养拥护党的领导、走中国特色社会主义道路的非公有制经济人士队伍。</w:t>
      </w:r>
      <w:r>
        <w:rPr>
          <w:rFonts w:hint="eastAsia" w:ascii="仿宋" w:hAnsi="仿宋" w:eastAsia="仿宋" w:cs="仿宋"/>
          <w:sz w:val="32"/>
          <w:szCs w:val="32"/>
        </w:rPr>
        <w:br w:type="textWrapping"/>
      </w:r>
      <w:r>
        <w:rPr>
          <w:rFonts w:hint="eastAsia" w:ascii="仿宋" w:hAnsi="仿宋" w:eastAsia="仿宋" w:cs="仿宋"/>
          <w:sz w:val="32"/>
          <w:szCs w:val="32"/>
        </w:rPr>
        <w:t xml:space="preserve">   （二）做好非公有制经济代表人士政治安排的推荐工作。参与政治协商，发挥民主监督作用，积极参政议政。</w:t>
      </w:r>
      <w:r>
        <w:rPr>
          <w:rFonts w:hint="eastAsia" w:ascii="仿宋" w:hAnsi="仿宋" w:eastAsia="仿宋" w:cs="仿宋"/>
          <w:sz w:val="32"/>
          <w:szCs w:val="32"/>
        </w:rPr>
        <w:br w:type="textWrapping"/>
      </w:r>
      <w:r>
        <w:rPr>
          <w:rFonts w:hint="eastAsia" w:ascii="仿宋" w:hAnsi="仿宋" w:eastAsia="仿宋" w:cs="仿宋"/>
          <w:sz w:val="32"/>
          <w:szCs w:val="32"/>
        </w:rPr>
        <w:t xml:space="preserve">   （三）参与政府相关的经济活动，广泛联系各地工商界人士，开展民间外交，推动经贸交流和协作，促进经济社会发展。</w:t>
      </w:r>
      <w:r>
        <w:rPr>
          <w:rFonts w:hint="eastAsia" w:ascii="仿宋" w:hAnsi="仿宋" w:eastAsia="仿宋" w:cs="仿宋"/>
          <w:sz w:val="32"/>
          <w:szCs w:val="32"/>
        </w:rPr>
        <w:br w:type="textWrapping"/>
      </w:r>
      <w:r>
        <w:rPr>
          <w:rFonts w:hint="eastAsia" w:ascii="仿宋" w:hAnsi="仿宋" w:eastAsia="仿宋" w:cs="仿宋"/>
          <w:sz w:val="32"/>
          <w:szCs w:val="32"/>
        </w:rPr>
        <w:t xml:space="preserve">   （四）参与协调劳动关系，促进和谐社会建设。</w:t>
      </w:r>
      <w:r>
        <w:rPr>
          <w:rFonts w:hint="eastAsia" w:ascii="仿宋" w:hAnsi="仿宋" w:eastAsia="仿宋" w:cs="仿宋"/>
          <w:sz w:val="32"/>
          <w:szCs w:val="32"/>
        </w:rPr>
        <w:br w:type="textWrapping"/>
      </w:r>
      <w:r>
        <w:rPr>
          <w:rFonts w:hint="eastAsia" w:ascii="仿宋" w:hAnsi="仿宋" w:eastAsia="仿宋" w:cs="仿宋"/>
          <w:sz w:val="32"/>
          <w:szCs w:val="32"/>
        </w:rPr>
        <w:t xml:space="preserve">   （五）指导本会直属商会工作，积极参与社会组织建设工作，促进行业协会商会改革发展。</w:t>
      </w:r>
      <w:r>
        <w:rPr>
          <w:rFonts w:hint="eastAsia" w:ascii="仿宋" w:hAnsi="仿宋" w:eastAsia="仿宋" w:cs="仿宋"/>
          <w:sz w:val="32"/>
          <w:szCs w:val="32"/>
        </w:rPr>
        <w:br w:type="textWrapping"/>
      </w:r>
      <w:r>
        <w:rPr>
          <w:rFonts w:hint="eastAsia" w:ascii="仿宋" w:hAnsi="仿宋" w:eastAsia="仿宋" w:cs="仿宋"/>
          <w:sz w:val="32"/>
          <w:szCs w:val="32"/>
        </w:rPr>
        <w:t xml:space="preserve">   （六）反映非公有制企业和非公有制经济人士利益诉求，维护其合法权益。</w:t>
      </w: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rPr>
        <w:t>（七）为会员提供政策信息、人才交流培训等服务。组织会员企业参加各类经贸活动，外出参观考察，帮助会员企业拓展市场。</w:t>
      </w:r>
      <w:r>
        <w:rPr>
          <w:rFonts w:hint="eastAsia" w:ascii="仿宋" w:hAnsi="仿宋" w:eastAsia="仿宋" w:cs="仿宋"/>
          <w:sz w:val="32"/>
          <w:szCs w:val="32"/>
        </w:rPr>
        <w:br w:type="textWrapping"/>
      </w:r>
      <w:r>
        <w:rPr>
          <w:rFonts w:hint="eastAsia" w:ascii="仿宋" w:hAnsi="仿宋" w:eastAsia="仿宋" w:cs="仿宋"/>
          <w:sz w:val="32"/>
          <w:szCs w:val="32"/>
        </w:rPr>
        <w:t xml:space="preserve">   （八）配合有关部门开展非公有制会员企业党建工作。</w:t>
      </w:r>
      <w:r>
        <w:rPr>
          <w:rFonts w:hint="eastAsia" w:ascii="仿宋" w:hAnsi="仿宋" w:eastAsia="仿宋" w:cs="仿宋"/>
          <w:sz w:val="32"/>
          <w:szCs w:val="32"/>
        </w:rPr>
        <w:br w:type="textWrapping"/>
      </w:r>
      <w:r>
        <w:rPr>
          <w:rFonts w:hint="eastAsia" w:ascii="仿宋" w:hAnsi="仿宋" w:eastAsia="仿宋" w:cs="仿宋"/>
          <w:sz w:val="32"/>
          <w:szCs w:val="32"/>
        </w:rPr>
        <w:t xml:space="preserve">   （九）积极引导非公有制企业及其非公有制经济人士承担社会责任，大力支持慈善公益事业发展，积极投身光彩事业。</w:t>
      </w:r>
      <w:r>
        <w:rPr>
          <w:rFonts w:hint="eastAsia" w:ascii="仿宋" w:hAnsi="仿宋" w:eastAsia="仿宋" w:cs="仿宋"/>
          <w:sz w:val="32"/>
          <w:szCs w:val="32"/>
        </w:rPr>
        <w:br w:type="textWrapping"/>
      </w:r>
      <w:r>
        <w:rPr>
          <w:rFonts w:hint="eastAsia" w:ascii="仿宋" w:hAnsi="仿宋" w:eastAsia="仿宋" w:cs="仿宋"/>
          <w:sz w:val="32"/>
          <w:szCs w:val="32"/>
        </w:rPr>
        <w:t xml:space="preserve">   （十）承办县委、县政府和上级工商联交办的其它任务。</w:t>
      </w:r>
    </w:p>
    <w:p>
      <w:pPr>
        <w:adjustRightInd w:val="0"/>
        <w:snapToGrid w:val="0"/>
        <w:spacing w:line="600" w:lineRule="exact"/>
        <w:ind w:firstLine="643" w:firstLineChars="200"/>
        <w:rPr>
          <w:rFonts w:ascii="仿宋_GB2312" w:hAnsi="仿宋" w:eastAsia="仿宋_GB2312"/>
          <w:sz w:val="32"/>
          <w:szCs w:val="32"/>
        </w:rPr>
      </w:pPr>
      <w:r>
        <w:rPr>
          <w:rFonts w:hint="eastAsia" w:ascii="仿宋" w:hAnsi="仿宋" w:eastAsia="仿宋" w:cs="仿宋"/>
          <w:b/>
          <w:bCs/>
          <w:sz w:val="32"/>
          <w:szCs w:val="32"/>
        </w:rPr>
        <w:t>（2）年度预算安排</w:t>
      </w:r>
      <w:r>
        <w:rPr>
          <w:rFonts w:hint="eastAsia" w:ascii="仿宋" w:hAnsi="仿宋" w:eastAsia="仿宋" w:cs="仿宋"/>
          <w:sz w:val="32"/>
          <w:szCs w:val="32"/>
        </w:rPr>
        <w:t>:</w:t>
      </w:r>
      <w:r>
        <w:rPr>
          <w:rFonts w:hint="eastAsia" w:ascii="仿宋" w:hAnsi="仿宋" w:eastAsia="仿宋" w:cs="仿宋"/>
          <w:bCs/>
          <w:sz w:val="32"/>
          <w:szCs w:val="32"/>
        </w:rPr>
        <w:t>2021年预算</w:t>
      </w:r>
      <w:r>
        <w:rPr>
          <w:rFonts w:hint="eastAsia" w:ascii="仿宋" w:hAnsi="仿宋" w:eastAsia="仿宋" w:cs="仿宋"/>
          <w:kern w:val="0"/>
          <w:sz w:val="32"/>
          <w:szCs w:val="32"/>
        </w:rPr>
        <w:t>90.45</w:t>
      </w:r>
      <w:r>
        <w:rPr>
          <w:rFonts w:hint="eastAsia" w:ascii="仿宋" w:hAnsi="仿宋" w:eastAsia="仿宋" w:cs="仿宋"/>
          <w:bCs/>
          <w:sz w:val="32"/>
          <w:szCs w:val="32"/>
        </w:rPr>
        <w:t>万元，为一般公共预算拨款9</w:t>
      </w:r>
      <w:r>
        <w:rPr>
          <w:rFonts w:ascii="仿宋" w:hAnsi="仿宋" w:eastAsia="仿宋" w:cs="仿宋"/>
          <w:bCs/>
          <w:sz w:val="32"/>
          <w:szCs w:val="32"/>
        </w:rPr>
        <w:t>0.45</w:t>
      </w:r>
      <w:r>
        <w:rPr>
          <w:rFonts w:hint="eastAsia" w:ascii="仿宋" w:hAnsi="仿宋" w:eastAsia="仿宋" w:cs="仿宋"/>
          <w:bCs/>
          <w:sz w:val="32"/>
          <w:szCs w:val="32"/>
        </w:rPr>
        <w:t>万元</w:t>
      </w:r>
      <w:r>
        <w:rPr>
          <w:rFonts w:hint="eastAsia" w:ascii="仿宋" w:hAnsi="仿宋" w:eastAsia="仿宋" w:cs="仿宋"/>
          <w:sz w:val="30"/>
          <w:szCs w:val="30"/>
        </w:rPr>
        <w:t>。</w:t>
      </w:r>
    </w:p>
    <w:p>
      <w:pPr>
        <w:widowControl/>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（3）绩效目标和指标。</w:t>
      </w:r>
    </w:p>
    <w:p>
      <w:pPr>
        <w:widowControl/>
        <w:ind w:firstLine="640" w:firstLineChars="200"/>
        <w:jc w:val="left"/>
        <w:rPr>
          <w:rFonts w:ascii="仿宋_GB2312" w:hAnsi="楷体" w:eastAsia="仿宋_GB2312"/>
          <w:sz w:val="32"/>
          <w:szCs w:val="32"/>
        </w:rPr>
      </w:pPr>
    </w:p>
    <w:p>
      <w:pPr>
        <w:adjustRightInd w:val="0"/>
        <w:snapToGrid w:val="0"/>
        <w:spacing w:line="600" w:lineRule="exact"/>
        <w:ind w:firstLine="640" w:firstLineChars="200"/>
        <w:rPr>
          <w:rFonts w:ascii="仿宋_GB2312" w:hAnsi="楷体" w:eastAsia="仿宋_GB2312"/>
          <w:sz w:val="32"/>
          <w:szCs w:val="32"/>
        </w:rPr>
      </w:pPr>
    </w:p>
    <w:tbl>
      <w:tblPr>
        <w:tblStyle w:val="5"/>
        <w:tblW w:w="9576" w:type="dxa"/>
        <w:tblInd w:w="96" w:type="dxa"/>
        <w:tblLayout w:type="autofit"/>
        <w:tblCellMar>
          <w:top w:w="0" w:type="dxa"/>
          <w:left w:w="108" w:type="dxa"/>
          <w:bottom w:w="0" w:type="dxa"/>
          <w:right w:w="108" w:type="dxa"/>
        </w:tblCellMar>
      </w:tblPr>
      <w:tblGrid>
        <w:gridCol w:w="980"/>
        <w:gridCol w:w="1320"/>
        <w:gridCol w:w="1320"/>
        <w:gridCol w:w="2260"/>
        <w:gridCol w:w="2106"/>
        <w:gridCol w:w="1590"/>
      </w:tblGrid>
      <w:tr>
        <w:tblPrEx>
          <w:tblCellMar>
            <w:top w:w="0" w:type="dxa"/>
            <w:left w:w="108" w:type="dxa"/>
            <w:bottom w:w="0" w:type="dxa"/>
            <w:right w:w="108" w:type="dxa"/>
          </w:tblCellMar>
        </w:tblPrEx>
        <w:trPr>
          <w:trHeight w:val="465" w:hRule="atLeast"/>
        </w:trPr>
        <w:tc>
          <w:tcPr>
            <w:tcW w:w="9576" w:type="dxa"/>
            <w:gridSpan w:val="6"/>
            <w:tcBorders>
              <w:top w:val="nil"/>
              <w:left w:val="nil"/>
              <w:bottom w:val="nil"/>
              <w:right w:val="nil"/>
            </w:tcBorders>
            <w:vAlign w:val="center"/>
          </w:tcPr>
          <w:p>
            <w:pPr>
              <w:widowControl/>
              <w:jc w:val="center"/>
              <w:rPr>
                <w:rFonts w:ascii="宋体" w:hAnsi="宋体" w:cs="宋体"/>
                <w:b/>
                <w:bCs/>
                <w:kern w:val="0"/>
                <w:sz w:val="32"/>
                <w:szCs w:val="32"/>
              </w:rPr>
            </w:pPr>
            <w:bookmarkStart w:id="0" w:name="RANGE!A1:F40"/>
            <w:r>
              <w:rPr>
                <w:rFonts w:hint="eastAsia" w:ascii="宋体" w:hAnsi="宋体" w:cs="宋体"/>
                <w:b/>
                <w:bCs/>
                <w:kern w:val="0"/>
                <w:sz w:val="32"/>
                <w:szCs w:val="32"/>
              </w:rPr>
              <w:t>宿松县工商联2021年部门整体支出绩效目标表</w:t>
            </w:r>
            <w:bookmarkEnd w:id="0"/>
          </w:p>
        </w:tc>
      </w:tr>
      <w:tr>
        <w:tblPrEx>
          <w:tblCellMar>
            <w:top w:w="0" w:type="dxa"/>
            <w:left w:w="108" w:type="dxa"/>
            <w:bottom w:w="0" w:type="dxa"/>
            <w:right w:w="108" w:type="dxa"/>
          </w:tblCellMar>
        </w:tblPrEx>
        <w:trPr>
          <w:trHeight w:val="438" w:hRule="atLeast"/>
        </w:trPr>
        <w:tc>
          <w:tcPr>
            <w:tcW w:w="3620"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部门（单位）名称</w:t>
            </w:r>
          </w:p>
        </w:tc>
        <w:tc>
          <w:tcPr>
            <w:tcW w:w="5956"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宿松县工商业联合会</w:t>
            </w:r>
          </w:p>
        </w:tc>
      </w:tr>
      <w:tr>
        <w:tblPrEx>
          <w:tblCellMar>
            <w:top w:w="0" w:type="dxa"/>
            <w:left w:w="108" w:type="dxa"/>
            <w:bottom w:w="0" w:type="dxa"/>
            <w:right w:w="108" w:type="dxa"/>
          </w:tblCellMar>
        </w:tblPrEx>
        <w:trPr>
          <w:trHeight w:val="438" w:hRule="atLeast"/>
        </w:trPr>
        <w:tc>
          <w:tcPr>
            <w:tcW w:w="98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年度预算（万元）</w:t>
            </w:r>
          </w:p>
        </w:tc>
        <w:tc>
          <w:tcPr>
            <w:tcW w:w="264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资金总额：</w:t>
            </w:r>
          </w:p>
        </w:tc>
        <w:tc>
          <w:tcPr>
            <w:tcW w:w="5956"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90.45</w:t>
            </w:r>
          </w:p>
        </w:tc>
      </w:tr>
      <w:tr>
        <w:tblPrEx>
          <w:tblCellMar>
            <w:top w:w="0" w:type="dxa"/>
            <w:left w:w="108" w:type="dxa"/>
            <w:bottom w:w="0" w:type="dxa"/>
            <w:right w:w="108" w:type="dxa"/>
          </w:tblCellMar>
        </w:tblPrEx>
        <w:trPr>
          <w:trHeight w:val="471" w:hRule="atLeast"/>
        </w:trPr>
        <w:tc>
          <w:tcPr>
            <w:tcW w:w="9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4900"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按收入性质分：</w:t>
            </w:r>
          </w:p>
        </w:tc>
        <w:tc>
          <w:tcPr>
            <w:tcW w:w="3696"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按支出性质分：</w:t>
            </w:r>
          </w:p>
        </w:tc>
      </w:tr>
      <w:tr>
        <w:tblPrEx>
          <w:tblCellMar>
            <w:top w:w="0" w:type="dxa"/>
            <w:left w:w="108" w:type="dxa"/>
            <w:bottom w:w="0" w:type="dxa"/>
            <w:right w:w="108" w:type="dxa"/>
          </w:tblCellMar>
        </w:tblPrEx>
        <w:trPr>
          <w:trHeight w:val="438" w:hRule="atLeast"/>
        </w:trPr>
        <w:tc>
          <w:tcPr>
            <w:tcW w:w="9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640"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其中：公共财政拨款：</w:t>
            </w:r>
          </w:p>
        </w:tc>
        <w:tc>
          <w:tcPr>
            <w:tcW w:w="226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r>
              <w:rPr>
                <w:rFonts w:hint="eastAsia" w:ascii="宋体" w:hAnsi="宋体" w:cs="宋体"/>
                <w:color w:val="000000"/>
                <w:kern w:val="0"/>
                <w:sz w:val="22"/>
              </w:rPr>
              <w:t>90.45万元</w:t>
            </w:r>
          </w:p>
        </w:tc>
        <w:tc>
          <w:tcPr>
            <w:tcW w:w="2106"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r>
              <w:rPr>
                <w:rFonts w:hint="eastAsia" w:ascii="宋体" w:hAnsi="宋体" w:cs="宋体"/>
                <w:color w:val="000000"/>
                <w:kern w:val="0"/>
                <w:sz w:val="22"/>
              </w:rPr>
              <w:t>其中：基本支出：</w:t>
            </w:r>
          </w:p>
        </w:tc>
        <w:tc>
          <w:tcPr>
            <w:tcW w:w="159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r>
              <w:rPr>
                <w:rFonts w:hint="eastAsia" w:ascii="宋体" w:hAnsi="宋体" w:cs="宋体"/>
                <w:color w:val="000000"/>
                <w:kern w:val="0"/>
                <w:sz w:val="22"/>
              </w:rPr>
              <w:t>90.45万元</w:t>
            </w:r>
          </w:p>
        </w:tc>
      </w:tr>
      <w:tr>
        <w:tblPrEx>
          <w:tblCellMar>
            <w:top w:w="0" w:type="dxa"/>
            <w:left w:w="108" w:type="dxa"/>
            <w:bottom w:w="0" w:type="dxa"/>
            <w:right w:w="108" w:type="dxa"/>
          </w:tblCellMar>
        </w:tblPrEx>
        <w:trPr>
          <w:trHeight w:val="438" w:hRule="atLeast"/>
        </w:trPr>
        <w:tc>
          <w:tcPr>
            <w:tcW w:w="9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640"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政府性基金拨款：</w:t>
            </w:r>
          </w:p>
        </w:tc>
        <w:tc>
          <w:tcPr>
            <w:tcW w:w="226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r>
              <w:rPr>
                <w:rFonts w:hint="eastAsia" w:ascii="宋体" w:hAnsi="宋体" w:cs="宋体"/>
                <w:color w:val="000000"/>
                <w:kern w:val="0"/>
                <w:sz w:val="22"/>
              </w:rPr>
              <w:t>0.00</w:t>
            </w:r>
          </w:p>
        </w:tc>
        <w:tc>
          <w:tcPr>
            <w:tcW w:w="2106"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 项目支出：</w:t>
            </w:r>
          </w:p>
        </w:tc>
        <w:tc>
          <w:tcPr>
            <w:tcW w:w="159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0.00</w:t>
            </w:r>
          </w:p>
        </w:tc>
      </w:tr>
      <w:tr>
        <w:tblPrEx>
          <w:tblCellMar>
            <w:top w:w="0" w:type="dxa"/>
            <w:left w:w="108" w:type="dxa"/>
            <w:bottom w:w="0" w:type="dxa"/>
            <w:right w:w="108" w:type="dxa"/>
          </w:tblCellMar>
        </w:tblPrEx>
        <w:trPr>
          <w:trHeight w:val="600" w:hRule="atLeast"/>
        </w:trPr>
        <w:tc>
          <w:tcPr>
            <w:tcW w:w="9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640"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纳入专户管理的非税收入拨款：</w:t>
            </w:r>
          </w:p>
        </w:tc>
        <w:tc>
          <w:tcPr>
            <w:tcW w:w="226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r>
              <w:rPr>
                <w:rFonts w:hint="eastAsia" w:ascii="宋体" w:hAnsi="宋体" w:cs="宋体"/>
                <w:color w:val="000000"/>
                <w:kern w:val="0"/>
                <w:sz w:val="22"/>
              </w:rPr>
              <w:t>0.00</w:t>
            </w:r>
          </w:p>
        </w:tc>
        <w:tc>
          <w:tcPr>
            <w:tcW w:w="21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590" w:type="dxa"/>
            <w:tcBorders>
              <w:top w:val="nil"/>
              <w:left w:val="nil"/>
              <w:bottom w:val="single" w:color="auto" w:sz="4" w:space="0"/>
              <w:right w:val="single" w:color="auto" w:sz="4" w:space="0"/>
            </w:tcBorders>
            <w:vAlign w:val="center"/>
          </w:tcPr>
          <w:p>
            <w:pPr>
              <w:widowControl/>
              <w:ind w:firstLine="660" w:firstLineChars="300"/>
              <w:jc w:val="left"/>
              <w:rPr>
                <w:rFonts w:ascii="宋体" w:hAnsi="宋体" w:cs="宋体"/>
                <w:color w:val="000000"/>
                <w:kern w:val="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438" w:hRule="atLeast"/>
        </w:trPr>
        <w:tc>
          <w:tcPr>
            <w:tcW w:w="9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640"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其他资金：</w:t>
            </w:r>
          </w:p>
        </w:tc>
        <w:tc>
          <w:tcPr>
            <w:tcW w:w="226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r>
              <w:rPr>
                <w:rFonts w:hint="eastAsia" w:ascii="宋体" w:hAnsi="宋体" w:cs="宋体"/>
                <w:color w:val="000000"/>
                <w:kern w:val="0"/>
                <w:sz w:val="22"/>
              </w:rPr>
              <w:t>0.00</w:t>
            </w:r>
          </w:p>
        </w:tc>
        <w:tc>
          <w:tcPr>
            <w:tcW w:w="21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590" w:type="dxa"/>
            <w:tcBorders>
              <w:top w:val="nil"/>
              <w:left w:val="nil"/>
              <w:bottom w:val="single" w:color="auto" w:sz="4" w:space="0"/>
              <w:right w:val="single" w:color="auto" w:sz="4" w:space="0"/>
            </w:tcBorders>
            <w:vAlign w:val="center"/>
          </w:tcPr>
          <w:p>
            <w:pPr>
              <w:widowControl/>
              <w:ind w:firstLine="660" w:firstLineChars="300"/>
              <w:jc w:val="left"/>
              <w:rPr>
                <w:rFonts w:ascii="宋体" w:hAnsi="宋体" w:cs="宋体"/>
                <w:color w:val="000000"/>
                <w:kern w:val="0"/>
                <w:sz w:val="22"/>
              </w:rPr>
            </w:pPr>
            <w:r>
              <w:rPr>
                <w:rFonts w:hint="eastAsia" w:ascii="宋体" w:hAnsi="宋体" w:cs="宋体"/>
                <w:color w:val="000000"/>
                <w:kern w:val="0"/>
                <w:sz w:val="22"/>
              </w:rPr>
              <w:t>0.00</w:t>
            </w:r>
          </w:p>
        </w:tc>
      </w:tr>
      <w:tr>
        <w:tblPrEx>
          <w:tblCellMar>
            <w:top w:w="0" w:type="dxa"/>
            <w:left w:w="108" w:type="dxa"/>
            <w:bottom w:w="0" w:type="dxa"/>
            <w:right w:w="108" w:type="dxa"/>
          </w:tblCellMar>
        </w:tblPrEx>
        <w:trPr>
          <w:trHeight w:val="9867" w:hRule="atLeast"/>
        </w:trPr>
        <w:tc>
          <w:tcPr>
            <w:tcW w:w="9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年度</w:t>
            </w:r>
            <w:r>
              <w:rPr>
                <w:rFonts w:hint="eastAsia" w:ascii="宋体" w:hAnsi="宋体" w:cs="宋体"/>
                <w:kern w:val="0"/>
                <w:sz w:val="24"/>
              </w:rPr>
              <w:br w:type="textWrapping"/>
            </w:r>
            <w:r>
              <w:rPr>
                <w:rFonts w:hint="eastAsia" w:ascii="宋体" w:hAnsi="宋体" w:cs="宋体"/>
                <w:kern w:val="0"/>
                <w:sz w:val="24"/>
              </w:rPr>
              <w:t>总体</w:t>
            </w:r>
            <w:r>
              <w:rPr>
                <w:rFonts w:hint="eastAsia" w:ascii="宋体" w:hAnsi="宋体" w:cs="宋体"/>
                <w:kern w:val="0"/>
                <w:sz w:val="24"/>
              </w:rPr>
              <w:br w:type="textWrapping"/>
            </w:r>
            <w:r>
              <w:rPr>
                <w:rFonts w:hint="eastAsia" w:ascii="宋体" w:hAnsi="宋体" w:cs="宋体"/>
                <w:kern w:val="0"/>
                <w:sz w:val="24"/>
              </w:rPr>
              <w:t>目标</w:t>
            </w:r>
          </w:p>
        </w:tc>
        <w:tc>
          <w:tcPr>
            <w:tcW w:w="8596" w:type="dxa"/>
            <w:gridSpan w:val="5"/>
            <w:tcBorders>
              <w:top w:val="single" w:color="auto" w:sz="4" w:space="0"/>
              <w:left w:val="nil"/>
              <w:bottom w:val="single" w:color="auto" w:sz="4" w:space="0"/>
              <w:right w:val="single" w:color="auto" w:sz="4" w:space="0"/>
            </w:tcBorders>
          </w:tcPr>
          <w:p>
            <w:pPr>
              <w:widowControl/>
              <w:jc w:val="left"/>
              <w:rPr>
                <w:rFonts w:ascii="宋体" w:hAnsi="宋体" w:cs="宋体"/>
                <w:kern w:val="0"/>
                <w:sz w:val="24"/>
              </w:rPr>
            </w:pPr>
            <w:r>
              <w:rPr>
                <w:rFonts w:hint="eastAsia" w:ascii="宋体" w:hAnsi="宋体" w:cs="宋体"/>
                <w:kern w:val="0"/>
                <w:sz w:val="24"/>
              </w:rPr>
              <w:br w:type="textWrapping"/>
            </w:r>
            <w:r>
              <w:rPr>
                <w:rFonts w:hint="eastAsia" w:ascii="宋体" w:hAnsi="宋体" w:cs="宋体"/>
                <w:kern w:val="0"/>
                <w:sz w:val="24"/>
              </w:rPr>
              <w:t xml:space="preserve"> 目标1：以习近平新时代中国特色社会主义思想为指导，深入学习贯彻党的十九大及十九届二中、三中、四中、五中全会精神。通过微信分享、走访调研、研讨交流等多种方式，在会员企业、各直属商协会进行学习传达,推动党的十九大精神进商会、进企业，广泛凝聚非公经济人士政治共识，以实际行动推动党的十九大精神在非公经济领域的贯彻落实。</w:t>
            </w:r>
            <w:r>
              <w:rPr>
                <w:rFonts w:hint="eastAsia" w:ascii="宋体" w:hAnsi="宋体" w:cs="宋体"/>
                <w:kern w:val="0"/>
                <w:sz w:val="24"/>
              </w:rPr>
              <w:br w:type="textWrapping"/>
            </w:r>
            <w:r>
              <w:rPr>
                <w:rFonts w:hint="eastAsia" w:ascii="宋体" w:hAnsi="宋体" w:cs="宋体"/>
                <w:kern w:val="0"/>
                <w:sz w:val="24"/>
              </w:rPr>
              <w:t xml:space="preserve"> 目标2：深入开展非公经济人士的理想信念教育活动，以贯彻“十九大”精神为主轴，教育引导广大非公经济人士进一步增强“四个意识”、坚定“四个自信”、做到“两个维护”，切实把思想和行动统一到县委、县政府的决策部署上来，积极履行社会责任。</w:t>
            </w:r>
            <w:r>
              <w:rPr>
                <w:rFonts w:hint="eastAsia" w:ascii="宋体" w:hAnsi="宋体" w:cs="宋体"/>
                <w:kern w:val="0"/>
                <w:sz w:val="24"/>
              </w:rPr>
              <w:br w:type="textWrapping"/>
            </w:r>
            <w:r>
              <w:rPr>
                <w:rFonts w:hint="eastAsia" w:ascii="宋体" w:hAnsi="宋体" w:cs="宋体"/>
                <w:kern w:val="0"/>
                <w:sz w:val="24"/>
              </w:rPr>
              <w:t xml:space="preserve"> 目标3：深入推进“百企帮百村”精准扶贫行动与乡村振兴的有机结合，组织、引导民营企业家通过资金帮扶、项目拉动公益帮扶、产业带动和就业帮扶等措施为脱贫攻坚、乡村振兴贡献力量。</w:t>
            </w:r>
          </w:p>
          <w:p>
            <w:pPr>
              <w:widowControl/>
              <w:jc w:val="left"/>
              <w:rPr>
                <w:rFonts w:ascii="宋体" w:hAnsi="宋体" w:cs="宋体"/>
                <w:kern w:val="0"/>
                <w:sz w:val="24"/>
              </w:rPr>
            </w:pPr>
            <w:r>
              <w:rPr>
                <w:rFonts w:hint="eastAsia" w:ascii="宋体" w:hAnsi="宋体" w:cs="宋体"/>
                <w:kern w:val="0"/>
                <w:sz w:val="24"/>
              </w:rPr>
              <w:t xml:space="preserve">目标4：积极引导企业家参政议政，助力优化营商环境，完善工商联直通车、民营经济运行调查机制，常态化开展民营企业运行情况季度调查。组织工商联届别的人大代表,政协委员深入企业调查研究，摸清看准影响成县民营经济发展存在的问题，提出切实可行方案，形成高质量调研报告，为县委、县政府决策提供依据积极构建亲清新型政商关系。 </w:t>
            </w:r>
          </w:p>
          <w:p>
            <w:pPr>
              <w:widowControl/>
              <w:jc w:val="left"/>
              <w:rPr>
                <w:rFonts w:ascii="宋体" w:hAnsi="宋体" w:cs="宋体"/>
                <w:kern w:val="0"/>
                <w:sz w:val="24"/>
              </w:rPr>
            </w:pPr>
            <w:r>
              <w:rPr>
                <w:rFonts w:hint="eastAsia" w:ascii="宋体" w:hAnsi="宋体" w:cs="宋体"/>
                <w:kern w:val="0"/>
                <w:sz w:val="24"/>
              </w:rPr>
              <w:t>目标5：深化企业服务，推进调解维权工作。加强商会人民调解委员会的管理，建立商会人民调解员管理制度。提高调解数量，提升调解质量，切实为非公企业排忧解难，切实做好做实企业维权及法律服务工作。</w:t>
            </w:r>
          </w:p>
          <w:p>
            <w:pPr>
              <w:widowControl/>
              <w:jc w:val="left"/>
              <w:rPr>
                <w:rFonts w:ascii="宋体" w:hAnsi="宋体" w:cs="宋体"/>
                <w:kern w:val="0"/>
                <w:sz w:val="24"/>
              </w:rPr>
            </w:pPr>
            <w:r>
              <w:rPr>
                <w:rFonts w:hint="eastAsia" w:ascii="宋体" w:hAnsi="宋体" w:cs="宋体"/>
                <w:kern w:val="0"/>
                <w:sz w:val="24"/>
              </w:rPr>
              <w:t>目标6：推进所属商会改革建设。落实中央、省、市、县委关于促进工商联所属商会改革和发展的决策部署，积极推动在重点行业、新兴产业和新兴业态领域组建直属商会，积极引导宿松籍外地企业家组建成立宿松驻外商会。吸纳有一定影响力的协会商会作为团体会员，加强指导，引导和服务，完善商会职能作用，规范商会自身建设。</w:t>
            </w:r>
          </w:p>
          <w:p>
            <w:pPr>
              <w:widowControl/>
              <w:jc w:val="left"/>
              <w:rPr>
                <w:rFonts w:ascii="宋体" w:hAnsi="宋体" w:cs="宋体"/>
                <w:kern w:val="0"/>
                <w:sz w:val="24"/>
              </w:rPr>
            </w:pPr>
            <w:r>
              <w:rPr>
                <w:rFonts w:hint="eastAsia" w:ascii="宋体" w:hAnsi="宋体" w:cs="宋体"/>
                <w:kern w:val="0"/>
                <w:sz w:val="24"/>
              </w:rPr>
              <w:t>目标7：坚持并完善工商联执委轮值制度，加强工商联自身建设。坚持主席（会长）会议制度和工商联执委会议制度，建立工商联兼职副主席（副会长）轮值制度，由1名企业家副主席（副会长）轮流担任轮值委主任，在任职期间组织开展两次有特色的活动。加快信息化建设，加强工商联组织及直属商会的信息互通、数据共享，加快建设服务、联系、工作一体化的工商联信息化网络。</w:t>
            </w:r>
          </w:p>
        </w:tc>
      </w:tr>
      <w:tr>
        <w:tblPrEx>
          <w:tblCellMar>
            <w:top w:w="0" w:type="dxa"/>
            <w:left w:w="108" w:type="dxa"/>
            <w:bottom w:w="0" w:type="dxa"/>
            <w:right w:w="108" w:type="dxa"/>
          </w:tblCellMar>
        </w:tblPrEx>
        <w:trPr>
          <w:trHeight w:val="438" w:hRule="atLeast"/>
        </w:trPr>
        <w:tc>
          <w:tcPr>
            <w:tcW w:w="9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年</w:t>
            </w:r>
            <w:r>
              <w:rPr>
                <w:rFonts w:hint="eastAsia" w:ascii="宋体" w:hAnsi="宋体" w:cs="宋体"/>
                <w:kern w:val="0"/>
                <w:sz w:val="24"/>
              </w:rPr>
              <w:br w:type="textWrapping"/>
            </w:r>
            <w:r>
              <w:rPr>
                <w:rFonts w:hint="eastAsia" w:ascii="宋体" w:hAnsi="宋体" w:cs="宋体"/>
                <w:kern w:val="0"/>
                <w:sz w:val="24"/>
              </w:rPr>
              <w:t>度</w:t>
            </w:r>
            <w:r>
              <w:rPr>
                <w:rFonts w:hint="eastAsia" w:ascii="宋体" w:hAnsi="宋体" w:cs="宋体"/>
                <w:kern w:val="0"/>
                <w:sz w:val="24"/>
              </w:rPr>
              <w:br w:type="textWrapping"/>
            </w: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一级指标</w:t>
            </w:r>
          </w:p>
        </w:tc>
        <w:tc>
          <w:tcPr>
            <w:tcW w:w="1320"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436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59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指标值</w:t>
            </w:r>
          </w:p>
        </w:tc>
      </w:tr>
      <w:tr>
        <w:tblPrEx>
          <w:tblCellMar>
            <w:top w:w="0" w:type="dxa"/>
            <w:left w:w="108" w:type="dxa"/>
            <w:bottom w:w="0" w:type="dxa"/>
            <w:right w:w="108" w:type="dxa"/>
          </w:tblCellMar>
        </w:tblPrEx>
        <w:trPr>
          <w:trHeight w:val="438" w:hRule="atLeast"/>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3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产出指标</w:t>
            </w:r>
          </w:p>
        </w:tc>
        <w:tc>
          <w:tcPr>
            <w:tcW w:w="1320" w:type="dxa"/>
            <w:tcBorders>
              <w:top w:val="nil"/>
              <w:left w:val="single" w:color="auto" w:sz="4" w:space="0"/>
              <w:bottom w:val="single" w:color="000000"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数量指标</w:t>
            </w:r>
          </w:p>
        </w:tc>
        <w:tc>
          <w:tcPr>
            <w:tcW w:w="4366" w:type="dxa"/>
            <w:gridSpan w:val="2"/>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kern w:val="0"/>
                <w:sz w:val="24"/>
              </w:rPr>
            </w:pPr>
            <w:r>
              <w:rPr>
                <w:rFonts w:hint="eastAsia" w:ascii="宋体" w:hAnsi="宋体" w:cs="宋体"/>
                <w:kern w:val="0"/>
                <w:sz w:val="24"/>
              </w:rPr>
              <w:t>指标1：保障工商联在职人员和退休人员的正常办公、生活秩序。</w:t>
            </w:r>
          </w:p>
        </w:tc>
        <w:tc>
          <w:tcPr>
            <w:tcW w:w="159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在职人员5人、退休人员1人</w:t>
            </w:r>
          </w:p>
        </w:tc>
      </w:tr>
      <w:tr>
        <w:tblPrEx>
          <w:tblCellMar>
            <w:top w:w="0" w:type="dxa"/>
            <w:left w:w="108" w:type="dxa"/>
            <w:bottom w:w="0" w:type="dxa"/>
            <w:right w:w="108" w:type="dxa"/>
          </w:tblCellMar>
        </w:tblPrEx>
        <w:trPr>
          <w:trHeight w:val="438" w:hRule="atLeast"/>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320" w:type="dxa"/>
            <w:vMerge w:val="restart"/>
            <w:tcBorders>
              <w:top w:val="nil"/>
              <w:left w:val="single" w:color="auto" w:sz="4" w:space="0"/>
              <w:bottom w:val="single" w:color="000000"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质量指标</w:t>
            </w:r>
          </w:p>
        </w:tc>
        <w:tc>
          <w:tcPr>
            <w:tcW w:w="4366" w:type="dxa"/>
            <w:gridSpan w:val="2"/>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kern w:val="0"/>
                <w:sz w:val="24"/>
              </w:rPr>
            </w:pPr>
            <w:r>
              <w:rPr>
                <w:rFonts w:hint="eastAsia" w:ascii="宋体" w:hAnsi="宋体" w:cs="宋体"/>
                <w:kern w:val="0"/>
                <w:sz w:val="24"/>
              </w:rPr>
              <w:t>指标1：基本满足在职人员和退休人员的正常办公、生活要求，机关工作正常高效运转。</w:t>
            </w:r>
          </w:p>
        </w:tc>
        <w:tc>
          <w:tcPr>
            <w:tcW w:w="159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保障机关工作正常高效运转</w:t>
            </w:r>
          </w:p>
        </w:tc>
      </w:tr>
      <w:tr>
        <w:tblPrEx>
          <w:tblCellMar>
            <w:top w:w="0" w:type="dxa"/>
            <w:left w:w="108" w:type="dxa"/>
            <w:bottom w:w="0" w:type="dxa"/>
            <w:right w:w="108" w:type="dxa"/>
          </w:tblCellMar>
        </w:tblPrEx>
        <w:trPr>
          <w:trHeight w:val="438" w:hRule="atLeast"/>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320" w:type="dxa"/>
            <w:vMerge w:val="continue"/>
            <w:tcBorders>
              <w:top w:val="nil"/>
              <w:left w:val="single" w:color="auto" w:sz="4" w:space="0"/>
              <w:bottom w:val="single" w:color="000000" w:sz="4" w:space="0"/>
              <w:right w:val="nil"/>
            </w:tcBorders>
            <w:vAlign w:val="center"/>
          </w:tcPr>
          <w:p>
            <w:pPr>
              <w:widowControl/>
              <w:jc w:val="left"/>
              <w:rPr>
                <w:rFonts w:ascii="宋体" w:hAnsi="宋体" w:cs="宋体"/>
                <w:kern w:val="0"/>
                <w:sz w:val="24"/>
              </w:rPr>
            </w:pPr>
          </w:p>
        </w:tc>
        <w:tc>
          <w:tcPr>
            <w:tcW w:w="4366" w:type="dxa"/>
            <w:gridSpan w:val="2"/>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指标2：组织实施各项业务工作符合国家相关政策、相关文件要求，有利于促进工商联各项工作的发展。</w:t>
            </w:r>
          </w:p>
        </w:tc>
        <w:tc>
          <w:tcPr>
            <w:tcW w:w="159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保障各项专项业务工作顺利开展</w:t>
            </w:r>
          </w:p>
        </w:tc>
      </w:tr>
      <w:tr>
        <w:tblPrEx>
          <w:tblCellMar>
            <w:top w:w="0" w:type="dxa"/>
            <w:left w:w="108" w:type="dxa"/>
            <w:bottom w:w="0" w:type="dxa"/>
            <w:right w:w="108" w:type="dxa"/>
          </w:tblCellMar>
        </w:tblPrEx>
        <w:trPr>
          <w:trHeight w:val="969" w:hRule="atLeast"/>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320" w:type="dxa"/>
            <w:vMerge w:val="restart"/>
            <w:tcBorders>
              <w:top w:val="nil"/>
              <w:left w:val="single" w:color="auto" w:sz="4" w:space="0"/>
              <w:bottom w:val="single" w:color="000000"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时效指标</w:t>
            </w:r>
          </w:p>
        </w:tc>
        <w:tc>
          <w:tcPr>
            <w:tcW w:w="4366" w:type="dxa"/>
            <w:gridSpan w:val="2"/>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指标1：在2021年度完成各项资金支出进度要求，保障工商联各项工作顺利开展。</w:t>
            </w:r>
          </w:p>
        </w:tc>
        <w:tc>
          <w:tcPr>
            <w:tcW w:w="159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=100%</w:t>
            </w:r>
          </w:p>
        </w:tc>
      </w:tr>
      <w:tr>
        <w:tblPrEx>
          <w:tblCellMar>
            <w:top w:w="0" w:type="dxa"/>
            <w:left w:w="108" w:type="dxa"/>
            <w:bottom w:w="0" w:type="dxa"/>
            <w:right w:w="108" w:type="dxa"/>
          </w:tblCellMar>
        </w:tblPrEx>
        <w:trPr>
          <w:trHeight w:val="438" w:hRule="atLeast"/>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320" w:type="dxa"/>
            <w:vMerge w:val="continue"/>
            <w:tcBorders>
              <w:top w:val="nil"/>
              <w:left w:val="single" w:color="auto" w:sz="4" w:space="0"/>
              <w:bottom w:val="single" w:color="000000" w:sz="4" w:space="0"/>
              <w:right w:val="nil"/>
            </w:tcBorders>
            <w:vAlign w:val="center"/>
          </w:tcPr>
          <w:p>
            <w:pPr>
              <w:widowControl/>
              <w:jc w:val="left"/>
              <w:rPr>
                <w:rFonts w:ascii="宋体" w:hAnsi="宋体" w:cs="宋体"/>
                <w:kern w:val="0"/>
                <w:sz w:val="24"/>
              </w:rPr>
            </w:pPr>
          </w:p>
        </w:tc>
        <w:tc>
          <w:tcPr>
            <w:tcW w:w="4366" w:type="dxa"/>
            <w:gridSpan w:val="2"/>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指标2：按照工商联2021年工作计划，履行好部门职能职责，做好各类工作开展全过程的工作。</w:t>
            </w:r>
          </w:p>
        </w:tc>
        <w:tc>
          <w:tcPr>
            <w:tcW w:w="159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100</w:t>
            </w:r>
            <w:r>
              <w:rPr>
                <w:rFonts w:hint="eastAsia" w:ascii="仿宋" w:hAnsi="仿宋" w:eastAsia="仿宋" w:cs="仿宋"/>
                <w:kern w:val="0"/>
                <w:sz w:val="24"/>
              </w:rPr>
              <w:t>%</w:t>
            </w:r>
          </w:p>
        </w:tc>
      </w:tr>
      <w:tr>
        <w:tblPrEx>
          <w:tblCellMar>
            <w:top w:w="0" w:type="dxa"/>
            <w:left w:w="108" w:type="dxa"/>
            <w:bottom w:w="0" w:type="dxa"/>
            <w:right w:w="108" w:type="dxa"/>
          </w:tblCellMar>
        </w:tblPrEx>
        <w:trPr>
          <w:trHeight w:val="438" w:hRule="atLeast"/>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320" w:type="dxa"/>
            <w:tcBorders>
              <w:top w:val="nil"/>
              <w:left w:val="nil"/>
              <w:bottom w:val="nil"/>
              <w:right w:val="nil"/>
            </w:tcBorders>
            <w:vAlign w:val="center"/>
          </w:tcPr>
          <w:p>
            <w:pPr>
              <w:widowControl/>
              <w:jc w:val="center"/>
              <w:rPr>
                <w:rFonts w:ascii="宋体" w:hAnsi="宋体" w:cs="宋体"/>
                <w:kern w:val="0"/>
                <w:sz w:val="24"/>
              </w:rPr>
            </w:pPr>
            <w:r>
              <w:rPr>
                <w:rFonts w:hint="eastAsia" w:ascii="宋体" w:hAnsi="宋体" w:cs="宋体"/>
                <w:kern w:val="0"/>
                <w:sz w:val="24"/>
              </w:rPr>
              <w:t>成本指标</w:t>
            </w:r>
          </w:p>
        </w:tc>
        <w:tc>
          <w:tcPr>
            <w:tcW w:w="4366" w:type="dxa"/>
            <w:gridSpan w:val="2"/>
            <w:tcBorders>
              <w:top w:val="single" w:color="auto" w:sz="4" w:space="0"/>
              <w:left w:val="single" w:color="auto" w:sz="4" w:space="0"/>
              <w:bottom w:val="single" w:color="auto" w:sz="4" w:space="0"/>
              <w:right w:val="single" w:color="000000" w:sz="4" w:space="0"/>
            </w:tcBorders>
            <w:vAlign w:val="center"/>
          </w:tcPr>
          <w:p>
            <w:pPr>
              <w:widowControl/>
              <w:rPr>
                <w:rFonts w:ascii="宋体" w:hAnsi="宋体" w:eastAsia="宋体" w:cs="宋体"/>
                <w:kern w:val="0"/>
                <w:sz w:val="24"/>
              </w:rPr>
            </w:pPr>
            <w:r>
              <w:rPr>
                <w:rFonts w:hint="eastAsia" w:ascii="宋体" w:hAnsi="宋体" w:eastAsia="宋体" w:cs="宋体"/>
                <w:kern w:val="0"/>
                <w:sz w:val="24"/>
              </w:rPr>
              <w:t>指标1：总成本控制年度预算申请范围内。</w:t>
            </w:r>
          </w:p>
        </w:tc>
        <w:tc>
          <w:tcPr>
            <w:tcW w:w="1590" w:type="dxa"/>
            <w:tcBorders>
              <w:top w:val="nil"/>
              <w:left w:val="nil"/>
              <w:bottom w:val="single" w:color="auto" w:sz="4" w:space="0"/>
              <w:right w:val="single" w:color="auto" w:sz="4" w:space="0"/>
            </w:tcBorders>
            <w:vAlign w:val="center"/>
          </w:tcPr>
          <w:p>
            <w:pPr>
              <w:widowControl/>
              <w:ind w:firstLine="240" w:firstLineChars="100"/>
              <w:jc w:val="center"/>
              <w:rPr>
                <w:rFonts w:ascii="仿宋" w:hAnsi="仿宋" w:eastAsia="仿宋" w:cs="仿宋"/>
                <w:kern w:val="0"/>
                <w:sz w:val="24"/>
              </w:rPr>
            </w:pPr>
            <w:r>
              <w:rPr>
                <w:rFonts w:hint="eastAsia" w:ascii="宋体" w:hAnsi="宋体"/>
                <w:kern w:val="0"/>
                <w:sz w:val="24"/>
              </w:rPr>
              <w:t>90.45</w:t>
            </w:r>
            <w:r>
              <w:rPr>
                <w:rFonts w:hint="eastAsia" w:ascii="仿宋" w:hAnsi="仿宋" w:eastAsia="仿宋" w:cs="仿宋"/>
                <w:kern w:val="0"/>
                <w:sz w:val="24"/>
              </w:rPr>
              <w:t>万元</w:t>
            </w:r>
          </w:p>
        </w:tc>
      </w:tr>
      <w:tr>
        <w:tblPrEx>
          <w:tblCellMar>
            <w:top w:w="0" w:type="dxa"/>
            <w:left w:w="108" w:type="dxa"/>
            <w:bottom w:w="0" w:type="dxa"/>
            <w:right w:w="108" w:type="dxa"/>
          </w:tblCellMar>
        </w:tblPrEx>
        <w:trPr>
          <w:trHeight w:val="438" w:hRule="atLeast"/>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320" w:type="dxa"/>
            <w:tcBorders>
              <w:top w:val="nil"/>
              <w:left w:val="nil"/>
              <w:bottom w:val="nil"/>
              <w:right w:val="nil"/>
            </w:tcBorders>
            <w:vAlign w:val="center"/>
          </w:tcPr>
          <w:p>
            <w:pPr>
              <w:widowControl/>
              <w:jc w:val="center"/>
              <w:rPr>
                <w:rFonts w:ascii="宋体" w:hAnsi="宋体" w:cs="宋体"/>
                <w:kern w:val="0"/>
                <w:sz w:val="24"/>
              </w:rPr>
            </w:pPr>
          </w:p>
        </w:tc>
        <w:tc>
          <w:tcPr>
            <w:tcW w:w="4366" w:type="dxa"/>
            <w:gridSpan w:val="2"/>
            <w:tcBorders>
              <w:top w:val="single" w:color="auto" w:sz="4" w:space="0"/>
              <w:left w:val="single" w:color="auto" w:sz="4" w:space="0"/>
              <w:bottom w:val="single" w:color="auto" w:sz="4" w:space="0"/>
              <w:right w:val="single" w:color="000000" w:sz="4" w:space="0"/>
            </w:tcBorders>
            <w:vAlign w:val="center"/>
          </w:tcPr>
          <w:p>
            <w:pPr>
              <w:widowControl/>
              <w:rPr>
                <w:rFonts w:ascii="宋体" w:hAnsi="宋体" w:eastAsia="宋体" w:cs="宋体"/>
                <w:kern w:val="0"/>
                <w:sz w:val="24"/>
              </w:rPr>
            </w:pPr>
            <w:r>
              <w:rPr>
                <w:rFonts w:hint="eastAsia" w:ascii="宋体" w:hAnsi="宋体" w:eastAsia="宋体" w:cs="宋体"/>
                <w:kern w:val="0"/>
                <w:sz w:val="24"/>
              </w:rPr>
              <w:t xml:space="preserve">指标2：其他工商联事务支出全年计划总成本 </w:t>
            </w:r>
            <w:r>
              <w:rPr>
                <w:rFonts w:hint="eastAsia" w:ascii="宋体" w:hAnsi="宋体" w:eastAsia="宋体" w:cs="宋体"/>
                <w:color w:val="000000"/>
                <w:kern w:val="0"/>
                <w:sz w:val="22"/>
              </w:rPr>
              <w:t>40.65</w:t>
            </w:r>
            <w:r>
              <w:rPr>
                <w:rFonts w:hint="eastAsia" w:ascii="宋体" w:hAnsi="宋体" w:eastAsia="宋体" w:cs="宋体"/>
                <w:kern w:val="0"/>
                <w:sz w:val="24"/>
              </w:rPr>
              <w:t xml:space="preserve"> 万元，严格执行行政事业单位财务管理制度及相关政策精神。</w:t>
            </w:r>
          </w:p>
        </w:tc>
        <w:tc>
          <w:tcPr>
            <w:tcW w:w="1590" w:type="dxa"/>
            <w:tcBorders>
              <w:top w:val="nil"/>
              <w:left w:val="nil"/>
              <w:bottom w:val="single" w:color="auto" w:sz="4" w:space="0"/>
              <w:right w:val="single" w:color="auto" w:sz="4" w:space="0"/>
            </w:tcBorders>
            <w:vAlign w:val="center"/>
          </w:tcPr>
          <w:p>
            <w:pPr>
              <w:widowControl/>
              <w:ind w:firstLine="220" w:firstLineChars="100"/>
              <w:rPr>
                <w:rFonts w:ascii="仿宋" w:hAnsi="仿宋" w:eastAsia="仿宋" w:cs="仿宋"/>
                <w:kern w:val="0"/>
                <w:sz w:val="24"/>
              </w:rPr>
            </w:pPr>
            <w:r>
              <w:rPr>
                <w:rFonts w:hint="eastAsia" w:ascii="宋体" w:hAnsi="宋体"/>
                <w:color w:val="000000"/>
                <w:kern w:val="0"/>
                <w:sz w:val="22"/>
              </w:rPr>
              <w:t>40.65</w:t>
            </w:r>
            <w:r>
              <w:rPr>
                <w:rFonts w:hint="eastAsia" w:ascii="仿宋" w:hAnsi="仿宋" w:eastAsia="仿宋" w:cs="仿宋"/>
                <w:kern w:val="0"/>
                <w:sz w:val="24"/>
              </w:rPr>
              <w:t>万元</w:t>
            </w:r>
          </w:p>
        </w:tc>
      </w:tr>
      <w:tr>
        <w:tblPrEx>
          <w:tblCellMar>
            <w:top w:w="0" w:type="dxa"/>
            <w:left w:w="108" w:type="dxa"/>
            <w:bottom w:w="0" w:type="dxa"/>
            <w:right w:w="108" w:type="dxa"/>
          </w:tblCellMar>
        </w:tblPrEx>
        <w:trPr>
          <w:trHeight w:val="438" w:hRule="atLeast"/>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320" w:type="dxa"/>
            <w:tcBorders>
              <w:top w:val="nil"/>
              <w:left w:val="nil"/>
              <w:bottom w:val="nil"/>
              <w:right w:val="nil"/>
            </w:tcBorders>
            <w:vAlign w:val="center"/>
          </w:tcPr>
          <w:p>
            <w:pPr>
              <w:widowControl/>
              <w:jc w:val="center"/>
              <w:rPr>
                <w:rFonts w:ascii="宋体" w:hAnsi="宋体" w:cs="宋体"/>
                <w:kern w:val="0"/>
                <w:sz w:val="24"/>
              </w:rPr>
            </w:pPr>
            <w:r>
              <w:rPr>
                <w:rFonts w:ascii="宋体" w:hAnsi="宋体" w:eastAsia="宋体" w:cs="宋体"/>
                <w:sz w:val="24"/>
                <w:szCs w:val="24"/>
              </w:rPr>
              <w:t>经济效益 指标</w:t>
            </w:r>
          </w:p>
        </w:tc>
        <w:tc>
          <w:tcPr>
            <w:tcW w:w="4366" w:type="dxa"/>
            <w:gridSpan w:val="2"/>
            <w:tcBorders>
              <w:top w:val="single" w:color="auto" w:sz="4" w:space="0"/>
              <w:left w:val="single" w:color="auto" w:sz="4" w:space="0"/>
              <w:bottom w:val="single" w:color="auto" w:sz="4" w:space="0"/>
              <w:right w:val="single" w:color="000000" w:sz="4" w:space="0"/>
            </w:tcBorders>
            <w:vAlign w:val="center"/>
          </w:tcPr>
          <w:p>
            <w:pPr>
              <w:widowControl/>
              <w:rPr>
                <w:rFonts w:ascii="宋体" w:hAnsi="宋体" w:eastAsia="宋体" w:cs="宋体"/>
                <w:kern w:val="0"/>
                <w:sz w:val="24"/>
              </w:rPr>
            </w:pPr>
            <w:r>
              <w:rPr>
                <w:rFonts w:ascii="宋体" w:hAnsi="宋体" w:eastAsia="宋体" w:cs="宋体"/>
                <w:sz w:val="24"/>
                <w:szCs w:val="24"/>
              </w:rPr>
              <w:t xml:space="preserve">节约财政资金 </w:t>
            </w:r>
          </w:p>
        </w:tc>
        <w:tc>
          <w:tcPr>
            <w:tcW w:w="1590" w:type="dxa"/>
            <w:tcBorders>
              <w:top w:val="nil"/>
              <w:left w:val="nil"/>
              <w:bottom w:val="single" w:color="auto" w:sz="4" w:space="0"/>
              <w:right w:val="single" w:color="auto" w:sz="4" w:space="0"/>
            </w:tcBorders>
            <w:vAlign w:val="center"/>
          </w:tcPr>
          <w:p>
            <w:pPr>
              <w:widowControl/>
              <w:rPr>
                <w:rFonts w:ascii="宋体" w:hAnsi="宋体"/>
                <w:color w:val="000000"/>
                <w:kern w:val="0"/>
                <w:sz w:val="22"/>
              </w:rPr>
            </w:pPr>
            <w:r>
              <w:rPr>
                <w:rFonts w:ascii="宋体" w:hAnsi="宋体" w:eastAsia="宋体" w:cs="宋体"/>
                <w:sz w:val="24"/>
                <w:szCs w:val="24"/>
              </w:rPr>
              <w:t>提高财政资金 使用效率</w:t>
            </w:r>
          </w:p>
        </w:tc>
      </w:tr>
      <w:tr>
        <w:tblPrEx>
          <w:tblCellMar>
            <w:top w:w="0" w:type="dxa"/>
            <w:left w:w="108" w:type="dxa"/>
            <w:bottom w:w="0" w:type="dxa"/>
            <w:right w:w="108" w:type="dxa"/>
          </w:tblCellMar>
        </w:tblPrEx>
        <w:trPr>
          <w:trHeight w:val="438" w:hRule="atLeast"/>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320" w:type="dxa"/>
            <w:tcBorders>
              <w:top w:val="nil"/>
              <w:left w:val="single" w:color="auto" w:sz="4" w:space="0"/>
              <w:bottom w:val="single" w:color="000000"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社会效益</w:t>
            </w:r>
            <w:r>
              <w:rPr>
                <w:rFonts w:hint="eastAsia" w:ascii="宋体" w:hAnsi="宋体" w:cs="宋体"/>
                <w:kern w:val="0"/>
                <w:sz w:val="24"/>
              </w:rPr>
              <w:br w:type="textWrapping"/>
            </w:r>
            <w:r>
              <w:rPr>
                <w:rFonts w:hint="eastAsia" w:ascii="宋体" w:hAnsi="宋体" w:cs="宋体"/>
                <w:kern w:val="0"/>
                <w:sz w:val="24"/>
              </w:rPr>
              <w:t>指标</w:t>
            </w:r>
          </w:p>
        </w:tc>
        <w:tc>
          <w:tcPr>
            <w:tcW w:w="4366" w:type="dxa"/>
            <w:gridSpan w:val="2"/>
            <w:tcBorders>
              <w:top w:val="single" w:color="auto" w:sz="4" w:space="0"/>
              <w:left w:val="single" w:color="auto" w:sz="4" w:space="0"/>
              <w:bottom w:val="single" w:color="auto" w:sz="4" w:space="0"/>
              <w:right w:val="single" w:color="000000" w:sz="4" w:space="0"/>
            </w:tcBorders>
            <w:vAlign w:val="center"/>
          </w:tcPr>
          <w:p>
            <w:pPr>
              <w:widowControl/>
              <w:rPr>
                <w:rFonts w:ascii="仿宋" w:hAnsi="仿宋" w:eastAsia="仿宋" w:cs="仿宋"/>
                <w:kern w:val="0"/>
                <w:sz w:val="24"/>
              </w:rPr>
            </w:pPr>
            <w:r>
              <w:rPr>
                <w:rFonts w:hint="eastAsia" w:ascii="宋体" w:hAnsi="宋体" w:eastAsia="宋体" w:cs="宋体"/>
                <w:kern w:val="0"/>
                <w:sz w:val="24"/>
              </w:rPr>
              <w:t>提升扩大宿松县工商联对外影响，提升知名度。</w:t>
            </w:r>
          </w:p>
        </w:tc>
        <w:tc>
          <w:tcPr>
            <w:tcW w:w="1590" w:type="dxa"/>
            <w:tcBorders>
              <w:top w:val="nil"/>
              <w:left w:val="nil"/>
              <w:bottom w:val="single" w:color="auto" w:sz="4" w:space="0"/>
              <w:right w:val="single" w:color="auto" w:sz="4" w:space="0"/>
            </w:tcBorders>
            <w:vAlign w:val="center"/>
          </w:tcPr>
          <w:p>
            <w:pPr>
              <w:widowControl/>
              <w:ind w:firstLine="240" w:firstLineChars="100"/>
              <w:rPr>
                <w:rFonts w:ascii="仿宋" w:hAnsi="仿宋" w:eastAsia="仿宋" w:cs="仿宋"/>
                <w:kern w:val="0"/>
                <w:sz w:val="24"/>
              </w:rPr>
            </w:pPr>
            <w:r>
              <w:rPr>
                <w:rFonts w:hint="eastAsia" w:ascii="仿宋" w:hAnsi="仿宋" w:eastAsia="仿宋" w:cs="仿宋"/>
                <w:kern w:val="0"/>
                <w:sz w:val="24"/>
              </w:rPr>
              <w:t>≥97%</w:t>
            </w:r>
          </w:p>
        </w:tc>
      </w:tr>
      <w:tr>
        <w:tblPrEx>
          <w:tblCellMar>
            <w:top w:w="0" w:type="dxa"/>
            <w:left w:w="108" w:type="dxa"/>
            <w:bottom w:w="0" w:type="dxa"/>
            <w:right w:w="108" w:type="dxa"/>
          </w:tblCellMar>
        </w:tblPrEx>
        <w:trPr>
          <w:trHeight w:val="438" w:hRule="atLeast"/>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320" w:type="dxa"/>
            <w:tcBorders>
              <w:top w:val="nil"/>
              <w:left w:val="single" w:color="auto" w:sz="4" w:space="0"/>
              <w:bottom w:val="single" w:color="000000"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生态效益</w:t>
            </w:r>
            <w:r>
              <w:rPr>
                <w:rFonts w:hint="eastAsia" w:ascii="宋体" w:hAnsi="宋体" w:cs="宋体"/>
                <w:kern w:val="0"/>
                <w:sz w:val="24"/>
              </w:rPr>
              <w:br w:type="textWrapping"/>
            </w:r>
            <w:r>
              <w:rPr>
                <w:rFonts w:hint="eastAsia" w:ascii="宋体" w:hAnsi="宋体" w:cs="宋体"/>
                <w:kern w:val="0"/>
                <w:sz w:val="24"/>
              </w:rPr>
              <w:t>指标</w:t>
            </w:r>
          </w:p>
        </w:tc>
        <w:tc>
          <w:tcPr>
            <w:tcW w:w="4366" w:type="dxa"/>
            <w:gridSpan w:val="2"/>
            <w:tcBorders>
              <w:top w:val="single" w:color="auto" w:sz="4" w:space="0"/>
              <w:left w:val="single" w:color="auto" w:sz="4" w:space="0"/>
              <w:bottom w:val="single" w:color="auto" w:sz="4" w:space="0"/>
              <w:right w:val="single" w:color="000000" w:sz="4" w:space="0"/>
            </w:tcBorders>
            <w:vAlign w:val="center"/>
          </w:tcPr>
          <w:p>
            <w:pPr>
              <w:widowControl/>
              <w:rPr>
                <w:rFonts w:ascii="宋体" w:hAnsi="宋体" w:eastAsia="宋体" w:cs="宋体"/>
                <w:kern w:val="0"/>
                <w:sz w:val="24"/>
              </w:rPr>
            </w:pPr>
            <w:r>
              <w:rPr>
                <w:rFonts w:hint="eastAsia" w:ascii="宋体" w:hAnsi="宋体" w:eastAsia="宋体" w:cs="宋体"/>
                <w:kern w:val="0"/>
                <w:sz w:val="24"/>
              </w:rPr>
              <w:t>提高群众环保意识，强化绿色发展观念。</w:t>
            </w:r>
          </w:p>
        </w:tc>
        <w:tc>
          <w:tcPr>
            <w:tcW w:w="1590" w:type="dxa"/>
            <w:tcBorders>
              <w:top w:val="nil"/>
              <w:left w:val="nil"/>
              <w:bottom w:val="single" w:color="auto" w:sz="4" w:space="0"/>
              <w:right w:val="single" w:color="auto" w:sz="4" w:space="0"/>
            </w:tcBorders>
            <w:vAlign w:val="center"/>
          </w:tcPr>
          <w:p>
            <w:pPr>
              <w:widowControl/>
              <w:ind w:firstLine="480" w:firstLineChars="200"/>
              <w:rPr>
                <w:rFonts w:ascii="宋体" w:hAnsi="宋体" w:eastAsia="宋体" w:cs="宋体"/>
                <w:kern w:val="0"/>
                <w:sz w:val="24"/>
              </w:rPr>
            </w:pPr>
            <w:r>
              <w:rPr>
                <w:rFonts w:hint="eastAsia" w:ascii="宋体" w:hAnsi="宋体" w:eastAsia="宋体" w:cs="宋体"/>
                <w:kern w:val="0"/>
                <w:sz w:val="24"/>
              </w:rPr>
              <w:t>≤0</w:t>
            </w:r>
          </w:p>
        </w:tc>
      </w:tr>
      <w:tr>
        <w:tblPrEx>
          <w:tblCellMar>
            <w:top w:w="0" w:type="dxa"/>
            <w:left w:w="108" w:type="dxa"/>
            <w:bottom w:w="0" w:type="dxa"/>
            <w:right w:w="108" w:type="dxa"/>
          </w:tblCellMar>
        </w:tblPrEx>
        <w:trPr>
          <w:trHeight w:val="891" w:hRule="atLeast"/>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320" w:type="dxa"/>
            <w:tcBorders>
              <w:top w:val="nil"/>
              <w:left w:val="single" w:color="auto" w:sz="4" w:space="0"/>
              <w:bottom w:val="single" w:color="000000"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可持续影响</w:t>
            </w:r>
            <w:r>
              <w:rPr>
                <w:rFonts w:hint="eastAsia" w:ascii="宋体" w:hAnsi="宋体" w:cs="宋体"/>
                <w:kern w:val="0"/>
                <w:sz w:val="24"/>
              </w:rPr>
              <w:br w:type="textWrapping"/>
            </w:r>
            <w:r>
              <w:rPr>
                <w:rFonts w:hint="eastAsia" w:ascii="宋体" w:hAnsi="宋体" w:cs="宋体"/>
                <w:kern w:val="0"/>
                <w:sz w:val="24"/>
              </w:rPr>
              <w:t>指标</w:t>
            </w:r>
          </w:p>
        </w:tc>
        <w:tc>
          <w:tcPr>
            <w:tcW w:w="4366" w:type="dxa"/>
            <w:gridSpan w:val="2"/>
            <w:tcBorders>
              <w:top w:val="single" w:color="auto" w:sz="4" w:space="0"/>
              <w:left w:val="single" w:color="auto" w:sz="4" w:space="0"/>
              <w:bottom w:val="single" w:color="auto" w:sz="4" w:space="0"/>
              <w:right w:val="single" w:color="000000" w:sz="4" w:space="0"/>
            </w:tcBorders>
            <w:vAlign w:val="center"/>
          </w:tcPr>
          <w:p>
            <w:pPr>
              <w:widowControl/>
              <w:rPr>
                <w:rFonts w:ascii="仿宋" w:hAnsi="仿宋" w:eastAsia="仿宋" w:cs="仿宋"/>
                <w:kern w:val="0"/>
                <w:sz w:val="24"/>
              </w:rPr>
            </w:pPr>
            <w:r>
              <w:rPr>
                <w:rFonts w:hint="eastAsia" w:ascii="宋体" w:hAnsi="宋体" w:eastAsia="宋体" w:cs="宋体"/>
                <w:kern w:val="0"/>
                <w:sz w:val="24"/>
              </w:rPr>
              <w:t>体现政策导向，长期保障工作平稳进行。</w:t>
            </w:r>
          </w:p>
        </w:tc>
        <w:tc>
          <w:tcPr>
            <w:tcW w:w="1590" w:type="dxa"/>
            <w:tcBorders>
              <w:top w:val="nil"/>
              <w:left w:val="nil"/>
              <w:bottom w:val="single" w:color="auto" w:sz="4" w:space="0"/>
              <w:right w:val="single" w:color="auto" w:sz="4" w:space="0"/>
            </w:tcBorders>
            <w:vAlign w:val="center"/>
          </w:tcPr>
          <w:p>
            <w:pPr>
              <w:widowControl/>
              <w:ind w:firstLine="480" w:firstLineChars="200"/>
              <w:rPr>
                <w:rFonts w:ascii="仿宋" w:hAnsi="仿宋" w:eastAsia="仿宋" w:cs="仿宋"/>
                <w:kern w:val="0"/>
                <w:sz w:val="24"/>
              </w:rPr>
            </w:pPr>
            <w:r>
              <w:rPr>
                <w:rFonts w:hint="eastAsia" w:ascii="仿宋" w:hAnsi="仿宋" w:eastAsia="仿宋" w:cs="仿宋"/>
                <w:kern w:val="0"/>
                <w:sz w:val="24"/>
              </w:rPr>
              <w:t>≥98%</w:t>
            </w:r>
          </w:p>
        </w:tc>
      </w:tr>
      <w:tr>
        <w:tblPrEx>
          <w:tblCellMar>
            <w:top w:w="0" w:type="dxa"/>
            <w:left w:w="108" w:type="dxa"/>
            <w:bottom w:w="0" w:type="dxa"/>
            <w:right w:w="108" w:type="dxa"/>
          </w:tblCellMar>
        </w:tblPrEx>
        <w:trPr>
          <w:trHeight w:val="438" w:hRule="atLeast"/>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320"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满意度</w:t>
            </w:r>
            <w:r>
              <w:rPr>
                <w:rFonts w:hint="eastAsia" w:ascii="宋体" w:hAnsi="宋体" w:cs="宋体"/>
                <w:kern w:val="0"/>
                <w:sz w:val="24"/>
              </w:rPr>
              <w:br w:type="textWrapping"/>
            </w:r>
            <w:r>
              <w:rPr>
                <w:rFonts w:hint="eastAsia" w:ascii="宋体" w:hAnsi="宋体" w:cs="宋体"/>
                <w:kern w:val="0"/>
                <w:sz w:val="24"/>
              </w:rPr>
              <w:t>指标</w:t>
            </w:r>
          </w:p>
        </w:tc>
        <w:tc>
          <w:tcPr>
            <w:tcW w:w="1320" w:type="dxa"/>
            <w:tcBorders>
              <w:top w:val="nil"/>
              <w:left w:val="single" w:color="auto" w:sz="4" w:space="0"/>
              <w:bottom w:val="single" w:color="000000"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服务对象</w:t>
            </w:r>
            <w:r>
              <w:rPr>
                <w:rFonts w:hint="eastAsia" w:ascii="宋体" w:hAnsi="宋体" w:cs="宋体"/>
                <w:kern w:val="0"/>
                <w:sz w:val="24"/>
              </w:rPr>
              <w:br w:type="textWrapping"/>
            </w:r>
            <w:r>
              <w:rPr>
                <w:rFonts w:hint="eastAsia" w:ascii="宋体" w:hAnsi="宋体" w:cs="宋体"/>
                <w:kern w:val="0"/>
                <w:sz w:val="24"/>
              </w:rPr>
              <w:t>满意度指标</w:t>
            </w:r>
          </w:p>
        </w:tc>
        <w:tc>
          <w:tcPr>
            <w:tcW w:w="4366" w:type="dxa"/>
            <w:gridSpan w:val="2"/>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通过各项工作的开展，力争使相关部门和企业对工商联工作开展的满意度达到较好水平。</w:t>
            </w:r>
          </w:p>
        </w:tc>
        <w:tc>
          <w:tcPr>
            <w:tcW w:w="1590" w:type="dxa"/>
            <w:tcBorders>
              <w:top w:val="nil"/>
              <w:left w:val="nil"/>
              <w:bottom w:val="single" w:color="auto" w:sz="4" w:space="0"/>
              <w:right w:val="single" w:color="auto" w:sz="4" w:space="0"/>
            </w:tcBorders>
            <w:vAlign w:val="center"/>
          </w:tcPr>
          <w:p>
            <w:pPr>
              <w:widowControl/>
              <w:ind w:firstLine="480" w:firstLineChars="200"/>
              <w:jc w:val="left"/>
              <w:rPr>
                <w:rFonts w:ascii="宋体" w:hAnsi="宋体" w:cs="宋体"/>
                <w:kern w:val="0"/>
                <w:sz w:val="24"/>
              </w:rPr>
            </w:pPr>
            <w:r>
              <w:rPr>
                <w:rFonts w:hint="eastAsia" w:ascii="仿宋" w:hAnsi="仿宋" w:eastAsia="仿宋" w:cs="仿宋"/>
                <w:kern w:val="0"/>
                <w:sz w:val="24"/>
              </w:rPr>
              <w:t>≥98%</w:t>
            </w:r>
          </w:p>
        </w:tc>
      </w:tr>
    </w:tbl>
    <w:p>
      <w:pPr>
        <w:adjustRightInd w:val="0"/>
        <w:snapToGrid w:val="0"/>
        <w:spacing w:line="600" w:lineRule="exact"/>
        <w:rPr>
          <w:rFonts w:ascii="黑体" w:hAnsi="黑体" w:eastAsia="黑体"/>
          <w:sz w:val="32"/>
          <w:szCs w:val="32"/>
        </w:rPr>
      </w:pPr>
    </w:p>
    <w:p>
      <w:pPr>
        <w:adjustRightInd w:val="0"/>
        <w:snapToGrid w:val="0"/>
        <w:spacing w:line="600" w:lineRule="exact"/>
        <w:ind w:firstLine="321" w:firstLineChars="100"/>
        <w:rPr>
          <w:rFonts w:ascii="仿宋_GB2312" w:hAnsi="楷体" w:eastAsia="仿宋_GB2312"/>
          <w:b/>
          <w:sz w:val="32"/>
          <w:szCs w:val="32"/>
        </w:rPr>
      </w:pPr>
      <w:r>
        <w:rPr>
          <w:rFonts w:hint="eastAsia" w:ascii="仿宋_GB2312" w:hAnsi="楷体" w:eastAsia="仿宋_GB2312"/>
          <w:b/>
          <w:sz w:val="32"/>
          <w:szCs w:val="32"/>
        </w:rPr>
        <w:t>（二）机关运行经费。</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宿松县工商联2021年机关运行经费财政拨款预算</w:t>
      </w:r>
      <w:r>
        <w:rPr>
          <w:rFonts w:ascii="仿宋_GB2312" w:hAnsi="仿宋" w:eastAsia="仿宋_GB2312"/>
          <w:sz w:val="32"/>
          <w:szCs w:val="32"/>
        </w:rPr>
        <w:t>40.65</w:t>
      </w:r>
      <w:r>
        <w:rPr>
          <w:rFonts w:hint="eastAsia" w:ascii="仿宋_GB2312" w:hAnsi="仿宋" w:eastAsia="仿宋_GB2312"/>
          <w:sz w:val="32"/>
          <w:szCs w:val="32"/>
        </w:rPr>
        <w:t>万元，与2020年预算持平，持平</w:t>
      </w:r>
      <w:r>
        <w:rPr>
          <w:rFonts w:hint="eastAsia" w:ascii="仿宋" w:hAnsi="仿宋" w:eastAsia="仿宋" w:cs="仿宋"/>
          <w:color w:val="000000"/>
          <w:kern w:val="0"/>
          <w:sz w:val="32"/>
          <w:szCs w:val="32"/>
        </w:rPr>
        <w:t>原因主要是厉行节约，严格机关运行经费管理</w:t>
      </w:r>
      <w:r>
        <w:rPr>
          <w:rFonts w:hint="eastAsia" w:ascii="仿宋" w:hAnsi="仿宋" w:eastAsia="仿宋" w:cs="仿宋"/>
          <w:sz w:val="30"/>
          <w:szCs w:val="30"/>
        </w:rPr>
        <w:t>。</w:t>
      </w: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（三）政府采购情况。</w:t>
      </w:r>
    </w:p>
    <w:p>
      <w:pPr>
        <w:adjustRightInd w:val="0"/>
        <w:snapToGrid w:val="0"/>
        <w:spacing w:line="600" w:lineRule="exact"/>
        <w:ind w:firstLine="640" w:firstLineChars="200"/>
        <w:rPr>
          <w:rFonts w:ascii="仿宋_GB2312" w:hAnsi="楷体" w:eastAsia="仿宋_GB2312"/>
          <w:sz w:val="32"/>
          <w:szCs w:val="32"/>
        </w:rPr>
      </w:pPr>
      <w:r>
        <w:rPr>
          <w:rFonts w:hint="eastAsia" w:ascii="仿宋" w:hAnsi="仿宋" w:eastAsia="仿宋" w:cs="仿宋"/>
          <w:sz w:val="32"/>
          <w:szCs w:val="32"/>
        </w:rPr>
        <w:t>宿松县工商联2021年</w:t>
      </w:r>
      <w:r>
        <w:rPr>
          <w:rFonts w:hint="eastAsia" w:ascii="仿宋" w:hAnsi="仿宋" w:eastAsia="仿宋" w:cs="仿宋"/>
          <w:color w:val="000000"/>
          <w:sz w:val="32"/>
          <w:szCs w:val="32"/>
        </w:rPr>
        <w:t>政府采购预算0万元。其中：政府采购货物预算0万元，政府采购工程预算0万元，政府采购服务预算0万元。</w:t>
      </w:r>
    </w:p>
    <w:p>
      <w:pPr>
        <w:numPr>
          <w:ilvl w:val="0"/>
          <w:numId w:val="2"/>
        </w:numPr>
        <w:adjustRightInd w:val="0"/>
        <w:snapToGrid w:val="0"/>
        <w:spacing w:line="360" w:lineRule="auto"/>
        <w:ind w:firstLine="643" w:firstLineChars="200"/>
        <w:rPr>
          <w:rFonts w:ascii="仿宋_GB2312" w:hAnsi="楷体" w:eastAsia="仿宋_GB2312"/>
          <w:b/>
          <w:sz w:val="32"/>
          <w:szCs w:val="32"/>
        </w:rPr>
      </w:pPr>
      <w:r>
        <w:rPr>
          <w:rFonts w:hint="eastAsia" w:ascii="仿宋_GB2312" w:hAnsi="楷体" w:eastAsia="仿宋_GB2312"/>
          <w:b/>
          <w:sz w:val="32"/>
          <w:szCs w:val="32"/>
        </w:rPr>
        <w:t>国有资产占有使用情况。</w:t>
      </w:r>
    </w:p>
    <w:p>
      <w:pPr>
        <w:adjustRightInd w:val="0"/>
        <w:snapToGrid w:val="0"/>
        <w:spacing w:line="360" w:lineRule="auto"/>
        <w:ind w:firstLine="640" w:firstLineChars="200"/>
        <w:rPr>
          <w:rFonts w:ascii="仿宋" w:hAnsi="仿宋" w:eastAsia="仿宋" w:cs="仿宋"/>
          <w:sz w:val="32"/>
          <w:szCs w:val="32"/>
        </w:rPr>
      </w:pPr>
      <w:r>
        <w:rPr>
          <w:rFonts w:hint="eastAsia" w:ascii="仿宋_GB2312" w:hAnsi="仿宋" w:eastAsia="仿宋_GB2312"/>
          <w:sz w:val="32"/>
          <w:szCs w:val="32"/>
        </w:rPr>
        <w:t>截至2020年12月31日，</w:t>
      </w:r>
      <w:r>
        <w:rPr>
          <w:rFonts w:hint="eastAsia" w:ascii="仿宋" w:hAnsi="仿宋" w:eastAsia="仿宋" w:cs="仿宋"/>
          <w:sz w:val="32"/>
          <w:szCs w:val="32"/>
        </w:rPr>
        <w:t>宿松县工商联2021年共有车辆0辆。单位价值50万元以上的通用设备0台（套），单位价值100万元以上的专用设备0台（套）。</w:t>
      </w:r>
    </w:p>
    <w:p>
      <w:pPr>
        <w:adjustRightInd w:val="0"/>
        <w:snapToGrid w:val="0"/>
        <w:spacing w:line="360" w:lineRule="auto"/>
        <w:ind w:firstLine="640" w:firstLineChars="200"/>
        <w:rPr>
          <w:rFonts w:ascii="仿宋_GB2312" w:hAnsi="楷体" w:eastAsia="仿宋_GB2312"/>
          <w:sz w:val="32"/>
          <w:szCs w:val="32"/>
        </w:rPr>
      </w:pPr>
      <w:r>
        <w:rPr>
          <w:rFonts w:hint="eastAsia" w:ascii="仿宋" w:hAnsi="仿宋" w:eastAsia="仿宋" w:cs="仿宋"/>
          <w:sz w:val="32"/>
          <w:szCs w:val="32"/>
        </w:rPr>
        <w:t>2021年部门预算安排购置公务用车0辆，购置费0.0万元；安排购置单位价值50万元以上的通用设备0台（套），购置费0.0万元；安排购置单位价值100万元以上专用设备0台（套），购置费0.0万元。</w:t>
      </w:r>
    </w:p>
    <w:p>
      <w:pPr>
        <w:adjustRightInd w:val="0"/>
        <w:snapToGrid w:val="0"/>
        <w:spacing w:line="600" w:lineRule="exact"/>
        <w:ind w:firstLine="643" w:firstLineChars="200"/>
        <w:outlineLvl w:val="0"/>
        <w:rPr>
          <w:rFonts w:ascii="仿宋_GB2312" w:hAnsi="仿宋" w:eastAsia="仿宋_GB2312"/>
          <w:sz w:val="32"/>
          <w:szCs w:val="32"/>
        </w:rPr>
      </w:pPr>
      <w:r>
        <w:rPr>
          <w:rFonts w:hint="eastAsia" w:ascii="仿宋_GB2312" w:hAnsi="楷体" w:eastAsia="仿宋_GB2312"/>
          <w:b/>
          <w:sz w:val="32"/>
          <w:szCs w:val="32"/>
        </w:rPr>
        <w:t>（五）绩效目标设置情况。</w:t>
      </w:r>
      <w:r>
        <w:rPr>
          <w:rFonts w:hint="eastAsia" w:ascii="仿宋_GB2312" w:hAnsi="仿宋" w:eastAsia="仿宋_GB2312"/>
          <w:sz w:val="32"/>
          <w:szCs w:val="32"/>
        </w:rPr>
        <w:t>2021年，宿松县工商联</w:t>
      </w:r>
      <w:r>
        <w:rPr>
          <w:rFonts w:ascii="仿宋_GB2312" w:hAnsi="仿宋" w:eastAsia="仿宋_GB2312"/>
          <w:sz w:val="32"/>
          <w:szCs w:val="32"/>
        </w:rPr>
        <w:t>1</w:t>
      </w:r>
      <w:r>
        <w:rPr>
          <w:rFonts w:hint="eastAsia" w:ascii="仿宋_GB2312" w:hAnsi="仿宋" w:eastAsia="仿宋_GB2312"/>
          <w:sz w:val="32"/>
          <w:szCs w:val="32"/>
        </w:rPr>
        <w:t>个项目（部门整体支出绩效）实行了绩效目标管理，涉及一般公共预算当年财政拨款</w:t>
      </w:r>
      <w:r>
        <w:rPr>
          <w:rFonts w:ascii="仿宋_GB2312" w:hAnsi="仿宋" w:eastAsia="仿宋_GB2312"/>
          <w:sz w:val="32"/>
          <w:szCs w:val="32"/>
        </w:rPr>
        <w:t>90.45</w:t>
      </w:r>
      <w:r>
        <w:rPr>
          <w:rFonts w:hint="eastAsia" w:ascii="仿宋_GB2312" w:hAnsi="仿宋" w:eastAsia="仿宋_GB2312"/>
          <w:sz w:val="32"/>
          <w:szCs w:val="32"/>
        </w:rPr>
        <w:t>万元。</w:t>
      </w:r>
    </w:p>
    <w:p>
      <w:pPr>
        <w:adjustRightInd w:val="0"/>
        <w:snapToGrid w:val="0"/>
        <w:spacing w:line="600" w:lineRule="exact"/>
        <w:jc w:val="center"/>
        <w:rPr>
          <w:rFonts w:ascii="黑体" w:eastAsia="黑体" w:cs="宋体"/>
          <w:sz w:val="36"/>
          <w:szCs w:val="36"/>
        </w:rPr>
      </w:pPr>
    </w:p>
    <w:p>
      <w:pPr>
        <w:adjustRightInd w:val="0"/>
        <w:snapToGrid w:val="0"/>
        <w:spacing w:line="600" w:lineRule="exact"/>
        <w:jc w:val="center"/>
        <w:rPr>
          <w:rFonts w:ascii="黑体" w:eastAsia="黑体" w:cs="宋体"/>
          <w:sz w:val="36"/>
          <w:szCs w:val="36"/>
        </w:rPr>
      </w:pPr>
      <w:r>
        <w:rPr>
          <w:rFonts w:hint="eastAsia" w:ascii="黑体" w:eastAsia="黑体" w:cs="宋体"/>
          <w:sz w:val="36"/>
          <w:szCs w:val="36"/>
        </w:rPr>
        <w:t>第四部分 名词解释</w:t>
      </w:r>
    </w:p>
    <w:p>
      <w:pPr>
        <w:adjustRightInd w:val="0"/>
        <w:snapToGrid w:val="0"/>
        <w:spacing w:line="600" w:lineRule="exact"/>
        <w:jc w:val="center"/>
        <w:rPr>
          <w:rFonts w:ascii="黑体" w:hAnsi="黑体" w:eastAsia="黑体"/>
          <w:sz w:val="32"/>
          <w:szCs w:val="32"/>
        </w:rPr>
      </w:pPr>
    </w:p>
    <w:p>
      <w:pPr>
        <w:adjustRightInd w:val="0"/>
        <w:snapToGrid w:val="0"/>
        <w:spacing w:line="600" w:lineRule="exact"/>
        <w:ind w:firstLine="640" w:firstLineChars="200"/>
        <w:rPr>
          <w:rFonts w:ascii="仿宋_GB2312" w:hAnsi="仿宋" w:eastAsia="仿宋_GB2312"/>
          <w:sz w:val="32"/>
          <w:szCs w:val="32"/>
        </w:rPr>
      </w:pPr>
      <w:r>
        <w:rPr>
          <w:rFonts w:hint="eastAsia" w:ascii="黑体" w:hAnsi="仿宋" w:eastAsia="黑体"/>
          <w:sz w:val="32"/>
          <w:szCs w:val="32"/>
        </w:rPr>
        <w:t>一、财政拨款收入</w:t>
      </w:r>
      <w:r>
        <w:rPr>
          <w:rFonts w:hint="eastAsia" w:ascii="仿宋_GB2312" w:hAnsi="仿宋" w:eastAsia="仿宋_GB2312"/>
          <w:b/>
          <w:sz w:val="32"/>
          <w:szCs w:val="32"/>
        </w:rPr>
        <w:t>：</w:t>
      </w:r>
      <w:r>
        <w:rPr>
          <w:rFonts w:hint="eastAsia" w:ascii="仿宋_GB2312" w:hAnsi="仿宋" w:eastAsia="仿宋_GB2312"/>
          <w:sz w:val="32"/>
          <w:szCs w:val="32"/>
        </w:rPr>
        <w:t>指部门或单位从同级财政部门取得的财政预算资金。</w:t>
      </w:r>
    </w:p>
    <w:p>
      <w:pPr>
        <w:pStyle w:val="4"/>
        <w:adjustRightInd w:val="0"/>
        <w:snapToGrid w:val="0"/>
        <w:spacing w:line="600" w:lineRule="exact"/>
        <w:ind w:firstLine="627" w:firstLineChars="196"/>
        <w:rPr>
          <w:rFonts w:ascii="黑体" w:hAnsi="黑体" w:eastAsia="黑体"/>
          <w:sz w:val="32"/>
          <w:szCs w:val="32"/>
        </w:rPr>
      </w:pPr>
      <w:r>
        <w:rPr>
          <w:rFonts w:hint="eastAsia" w:ascii="黑体" w:hAnsi="仿宋" w:eastAsia="黑体" w:cstheme="minorBidi"/>
          <w:kern w:val="2"/>
          <w:sz w:val="32"/>
          <w:szCs w:val="32"/>
        </w:rPr>
        <w:t>二、事业收入：</w:t>
      </w:r>
      <w:r>
        <w:rPr>
          <w:rFonts w:hint="eastAsia" w:ascii="仿宋_GB2312" w:hAnsi="仿宋" w:eastAsia="仿宋_GB2312" w:cstheme="minorBidi"/>
          <w:kern w:val="2"/>
          <w:sz w:val="32"/>
          <w:szCs w:val="32"/>
        </w:rPr>
        <w:t>指事业单位开展专业业务活动及辅助活动所取得的收入。</w:t>
      </w:r>
    </w:p>
    <w:p>
      <w:pPr>
        <w:pStyle w:val="4"/>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三、财政专户管理资金：</w:t>
      </w:r>
      <w:r>
        <w:rPr>
          <w:rFonts w:hint="eastAsia" w:ascii="仿宋_GB2312" w:hAnsi="仿宋" w:eastAsia="仿宋_GB2312" w:cs="Times New Roman"/>
          <w:kern w:val="2"/>
          <w:sz w:val="32"/>
          <w:szCs w:val="32"/>
        </w:rPr>
        <w:t>指按照非税收入管理相关规定，纳入财政专户管理的教育收费等。</w:t>
      </w:r>
    </w:p>
    <w:p>
      <w:pPr>
        <w:pStyle w:val="4"/>
        <w:adjustRightInd w:val="0"/>
        <w:snapToGrid w:val="0"/>
        <w:spacing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四、事业单位经营收入：</w:t>
      </w:r>
      <w:r>
        <w:rPr>
          <w:rFonts w:hint="eastAsia" w:ascii="仿宋_GB2312" w:hAnsi="仿宋" w:eastAsia="仿宋_GB2312" w:cs="Times New Roman"/>
          <w:kern w:val="2"/>
          <w:sz w:val="32"/>
          <w:szCs w:val="32"/>
        </w:rPr>
        <w:t>指事业单位在专业业务活动及其辅助活动之外开展非独立核算经营活动取得的收入。</w:t>
      </w:r>
    </w:p>
    <w:p>
      <w:pPr>
        <w:pStyle w:val="4"/>
        <w:adjustRightInd w:val="0"/>
        <w:snapToGrid w:val="0"/>
        <w:spacing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五、附属单位上缴收入：</w:t>
      </w:r>
      <w:r>
        <w:rPr>
          <w:rFonts w:hint="eastAsia" w:ascii="仿宋_GB2312" w:hAnsi="仿宋" w:eastAsia="仿宋_GB2312" w:cs="Times New Roman"/>
          <w:kern w:val="2"/>
          <w:sz w:val="32"/>
          <w:szCs w:val="32"/>
        </w:rPr>
        <w:t>本单位所属下级单位上缴给本单位的全部收入。</w:t>
      </w:r>
    </w:p>
    <w:p>
      <w:pPr>
        <w:pStyle w:val="4"/>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六、上年结转：</w:t>
      </w:r>
      <w:r>
        <w:rPr>
          <w:rFonts w:hint="eastAsia" w:ascii="仿宋_GB2312" w:hAnsi="仿宋" w:eastAsia="仿宋_GB2312" w:cs="Times New Roman"/>
          <w:kern w:val="2"/>
          <w:sz w:val="32"/>
          <w:szCs w:val="32"/>
        </w:rPr>
        <w:t>指以前年度安排、结转到本年仍按原用途继续使用的资金。</w:t>
      </w:r>
    </w:p>
    <w:p>
      <w:pPr>
        <w:pStyle w:val="4"/>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七、结转下年：</w:t>
      </w:r>
      <w:r>
        <w:rPr>
          <w:rFonts w:hint="eastAsia" w:ascii="仿宋_GB2312" w:hAnsi="仿宋" w:eastAsia="仿宋_GB2312" w:cs="Times New Roman"/>
          <w:kern w:val="2"/>
          <w:sz w:val="32"/>
          <w:szCs w:val="32"/>
        </w:rPr>
        <w:t>指以前年度预算安排、因客观条件发生变化无法按原计划实施，需以后年度按原用途继续使用的资金。</w:t>
      </w:r>
    </w:p>
    <w:p>
      <w:pPr>
        <w:pStyle w:val="4"/>
        <w:adjustRightInd w:val="0"/>
        <w:snapToGrid w:val="0"/>
        <w:spacing w:before="0" w:beforeAutospacing="0" w:after="0" w:afterAutospacing="0" w:line="600" w:lineRule="exact"/>
        <w:ind w:firstLine="627" w:firstLineChars="196"/>
        <w:rPr>
          <w:rFonts w:ascii="仿宋_GB2312" w:hAnsi="黑体" w:eastAsia="仿宋_GB2312"/>
          <w:sz w:val="32"/>
          <w:szCs w:val="32"/>
        </w:rPr>
      </w:pPr>
      <w:r>
        <w:rPr>
          <w:rFonts w:hint="eastAsia" w:ascii="黑体" w:hAnsi="黑体" w:eastAsia="黑体"/>
          <w:sz w:val="32"/>
          <w:szCs w:val="32"/>
        </w:rPr>
        <w:t>八、基本支出</w:t>
      </w:r>
      <w:r>
        <w:rPr>
          <w:rFonts w:hint="eastAsia" w:ascii="仿宋_GB2312" w:hAnsi="黑体" w:eastAsia="仿宋_GB2312"/>
          <w:b/>
          <w:sz w:val="32"/>
          <w:szCs w:val="32"/>
        </w:rPr>
        <w:t>：</w:t>
      </w:r>
      <w:r>
        <w:rPr>
          <w:rFonts w:hint="eastAsia" w:ascii="仿宋_GB2312" w:hAnsi="黑体" w:eastAsia="仿宋_GB2312"/>
          <w:sz w:val="32"/>
          <w:szCs w:val="32"/>
        </w:rPr>
        <w:t>指为保障机构正常运转、完成日常工作任务而发生的人员支出和公用支出。</w:t>
      </w:r>
    </w:p>
    <w:p>
      <w:pPr>
        <w:pStyle w:val="4"/>
        <w:spacing w:before="0" w:beforeAutospacing="0" w:after="0" w:afterAutospacing="0" w:line="600" w:lineRule="exact"/>
        <w:ind w:firstLine="627" w:firstLineChars="196"/>
        <w:jc w:val="both"/>
        <w:rPr>
          <w:rFonts w:ascii="仿宋_GB2312" w:hAnsi="黑体" w:eastAsia="仿宋_GB2312"/>
          <w:sz w:val="32"/>
          <w:szCs w:val="32"/>
        </w:rPr>
      </w:pPr>
      <w:r>
        <w:rPr>
          <w:rFonts w:hint="eastAsia" w:ascii="黑体" w:hAnsi="黑体" w:eastAsia="黑体"/>
          <w:sz w:val="32"/>
          <w:szCs w:val="32"/>
        </w:rPr>
        <w:t>九、项目支出</w:t>
      </w:r>
      <w:r>
        <w:rPr>
          <w:rFonts w:hint="eastAsia" w:ascii="仿宋_GB2312" w:hAnsi="黑体" w:eastAsia="仿宋_GB2312"/>
          <w:b/>
          <w:sz w:val="32"/>
          <w:szCs w:val="32"/>
        </w:rPr>
        <w:t>：</w:t>
      </w:r>
      <w:r>
        <w:rPr>
          <w:rFonts w:hint="eastAsia" w:ascii="仿宋_GB2312" w:hAnsi="黑体" w:eastAsia="仿宋_GB2312"/>
          <w:sz w:val="32"/>
          <w:szCs w:val="32"/>
        </w:rPr>
        <w:t>指在除基本支出之外的支出，主要用于完成特定的工作任务和事业发展目标。</w:t>
      </w:r>
      <w:r>
        <w:rPr>
          <w:rFonts w:ascii="仿宋_GB2312" w:hAnsi="黑体" w:eastAsia="仿宋_GB2312"/>
          <w:sz w:val="32"/>
          <w:szCs w:val="32"/>
        </w:rPr>
        <w:br w:type="textWrapping"/>
      </w:r>
      <w:r>
        <w:rPr>
          <w:rFonts w:hint="eastAsia" w:ascii="仿宋_GB2312" w:hAnsi="黑体" w:eastAsia="仿宋_GB2312"/>
          <w:sz w:val="32"/>
          <w:szCs w:val="32"/>
        </w:rPr>
        <w:t xml:space="preserve">   </w:t>
      </w:r>
      <w:r>
        <w:rPr>
          <w:rFonts w:hint="eastAsia" w:ascii="黑体" w:hAnsi="黑体" w:eastAsia="黑体"/>
          <w:sz w:val="32"/>
          <w:szCs w:val="32"/>
        </w:rPr>
        <w:t xml:space="preserve"> 十、机关运行经费:</w:t>
      </w:r>
      <w:r>
        <w:rPr>
          <w:rFonts w:hint="eastAsia" w:ascii="仿宋_GB2312" w:hAnsi="黑体" w:eastAsia="仿宋_GB2312"/>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pStyle w:val="4"/>
        <w:adjustRightInd w:val="0"/>
        <w:snapToGrid w:val="0"/>
        <w:spacing w:before="0" w:beforeAutospacing="0" w:after="0" w:afterAutospacing="0" w:line="360" w:lineRule="auto"/>
        <w:ind w:left="359" w:leftChars="171"/>
        <w:jc w:val="both"/>
      </w:pPr>
    </w:p>
    <w:p/>
    <w:p>
      <w:pPr>
        <w:rPr>
          <w:rFonts w:ascii="仿宋_GB2312" w:hAnsi="黑体" w:eastAsia="仿宋_GB2312" w:cs="宋体"/>
          <w:kern w:val="0"/>
          <w:sz w:val="32"/>
          <w:szCs w:val="32"/>
        </w:rPr>
      </w:pPr>
      <w:r>
        <w:rPr>
          <w:rFonts w:ascii="仿宋_GB2312" w:hAnsi="黑体" w:eastAsia="仿宋_GB2312" w:cs="宋体"/>
          <w:kern w:val="0"/>
          <w:sz w:val="32"/>
          <w:szCs w:val="32"/>
        </w:rPr>
        <w:t>联系方式：宿松县</w:t>
      </w:r>
      <w:r>
        <w:rPr>
          <w:rFonts w:hint="eastAsia" w:ascii="仿宋_GB2312" w:hAnsi="黑体" w:eastAsia="仿宋_GB2312" w:cs="宋体"/>
          <w:kern w:val="0"/>
          <w:sz w:val="32"/>
          <w:szCs w:val="32"/>
        </w:rPr>
        <w:t>工商联</w:t>
      </w:r>
      <w:r>
        <w:rPr>
          <w:rFonts w:ascii="仿宋_GB2312" w:hAnsi="黑体" w:eastAsia="仿宋_GB2312" w:cs="宋体"/>
          <w:kern w:val="0"/>
          <w:sz w:val="32"/>
          <w:szCs w:val="32"/>
        </w:rPr>
        <w:t xml:space="preserve"> </w:t>
      </w:r>
    </w:p>
    <w:p>
      <w:pPr>
        <w:rPr>
          <w:rFonts w:ascii="仿宋_GB2312" w:hAnsi="黑体" w:eastAsia="仿宋_GB2312" w:cs="宋体"/>
          <w:kern w:val="0"/>
          <w:sz w:val="32"/>
          <w:szCs w:val="32"/>
        </w:rPr>
      </w:pPr>
      <w:r>
        <w:rPr>
          <w:rFonts w:ascii="仿宋_GB2312" w:hAnsi="黑体" w:eastAsia="仿宋_GB2312" w:cs="宋体"/>
          <w:kern w:val="0"/>
          <w:sz w:val="32"/>
          <w:szCs w:val="32"/>
        </w:rPr>
        <w:t>政务公开电子邮箱：ss</w:t>
      </w:r>
      <w:r>
        <w:rPr>
          <w:rFonts w:hint="eastAsia" w:ascii="仿宋_GB2312" w:hAnsi="黑体" w:eastAsia="仿宋_GB2312" w:cs="宋体"/>
          <w:kern w:val="0"/>
          <w:sz w:val="32"/>
          <w:szCs w:val="32"/>
        </w:rPr>
        <w:t>x</w:t>
      </w:r>
      <w:r>
        <w:rPr>
          <w:rFonts w:ascii="仿宋_GB2312" w:hAnsi="黑体" w:eastAsia="仿宋_GB2312" w:cs="宋体"/>
          <w:kern w:val="0"/>
          <w:sz w:val="32"/>
          <w:szCs w:val="32"/>
        </w:rPr>
        <w:t>gslb@163.com</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55711"/>
    </w:sdtPr>
    <w:sdtContent>
      <w:p>
        <w:pPr>
          <w:pStyle w:val="2"/>
          <w:jc w:val="right"/>
        </w:pPr>
        <w:r>
          <w:fldChar w:fldCharType="begin"/>
        </w:r>
        <w:r>
          <w:instrText xml:space="preserve"> PAGE   \* MERGEFORMAT </w:instrText>
        </w:r>
        <w:r>
          <w:fldChar w:fldCharType="separate"/>
        </w:r>
        <w:r>
          <w:rPr>
            <w:lang w:val="zh-CN"/>
          </w:rPr>
          <w:t>18</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2A3D91"/>
    <w:multiLevelType w:val="singleLevel"/>
    <w:tmpl w:val="032A3D91"/>
    <w:lvl w:ilvl="0" w:tentative="0">
      <w:start w:val="4"/>
      <w:numFmt w:val="chineseCounting"/>
      <w:suff w:val="nothing"/>
      <w:lvlText w:val="（%1）"/>
      <w:lvlJc w:val="left"/>
      <w:rPr>
        <w:rFonts w:hint="eastAsia"/>
      </w:rPr>
    </w:lvl>
  </w:abstractNum>
  <w:abstractNum w:abstractNumId="1">
    <w:nsid w:val="49020764"/>
    <w:multiLevelType w:val="singleLevel"/>
    <w:tmpl w:val="49020764"/>
    <w:lvl w:ilvl="0" w:tentative="0">
      <w:start w:val="1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382"/>
    <w:rsid w:val="00032A6F"/>
    <w:rsid w:val="00143C3D"/>
    <w:rsid w:val="001B264A"/>
    <w:rsid w:val="001D1E5C"/>
    <w:rsid w:val="00232C88"/>
    <w:rsid w:val="0024150C"/>
    <w:rsid w:val="002A7AE4"/>
    <w:rsid w:val="002C0BCE"/>
    <w:rsid w:val="002C6871"/>
    <w:rsid w:val="002F1268"/>
    <w:rsid w:val="002F36E5"/>
    <w:rsid w:val="00314382"/>
    <w:rsid w:val="003357F4"/>
    <w:rsid w:val="00350150"/>
    <w:rsid w:val="004024EB"/>
    <w:rsid w:val="004E584A"/>
    <w:rsid w:val="005A3699"/>
    <w:rsid w:val="0060792E"/>
    <w:rsid w:val="00607CA6"/>
    <w:rsid w:val="00646259"/>
    <w:rsid w:val="006B191F"/>
    <w:rsid w:val="007A5F5F"/>
    <w:rsid w:val="007C55F3"/>
    <w:rsid w:val="007E241D"/>
    <w:rsid w:val="0087474A"/>
    <w:rsid w:val="00882CEE"/>
    <w:rsid w:val="00A4789A"/>
    <w:rsid w:val="00A6236E"/>
    <w:rsid w:val="00AB3180"/>
    <w:rsid w:val="00AD661B"/>
    <w:rsid w:val="00B01B81"/>
    <w:rsid w:val="00BC6C0B"/>
    <w:rsid w:val="00C2111D"/>
    <w:rsid w:val="00C365DF"/>
    <w:rsid w:val="00C5227E"/>
    <w:rsid w:val="00CA02FA"/>
    <w:rsid w:val="00CB6095"/>
    <w:rsid w:val="00D629F6"/>
    <w:rsid w:val="00EC04BC"/>
    <w:rsid w:val="0110714C"/>
    <w:rsid w:val="014F603B"/>
    <w:rsid w:val="01A213A7"/>
    <w:rsid w:val="01E468A0"/>
    <w:rsid w:val="022A5EF9"/>
    <w:rsid w:val="02A73915"/>
    <w:rsid w:val="03AF5A9B"/>
    <w:rsid w:val="04532294"/>
    <w:rsid w:val="046B6C1D"/>
    <w:rsid w:val="04714340"/>
    <w:rsid w:val="048B68CB"/>
    <w:rsid w:val="04BC430D"/>
    <w:rsid w:val="050C0563"/>
    <w:rsid w:val="05CE7667"/>
    <w:rsid w:val="06804165"/>
    <w:rsid w:val="0721313C"/>
    <w:rsid w:val="08614DC2"/>
    <w:rsid w:val="08B81E15"/>
    <w:rsid w:val="08D3632F"/>
    <w:rsid w:val="09264BCC"/>
    <w:rsid w:val="095F59C5"/>
    <w:rsid w:val="09C40EE6"/>
    <w:rsid w:val="0A3C3466"/>
    <w:rsid w:val="0A68453F"/>
    <w:rsid w:val="0AAD176D"/>
    <w:rsid w:val="0AB26464"/>
    <w:rsid w:val="0ABE1E0D"/>
    <w:rsid w:val="0AE51D2B"/>
    <w:rsid w:val="0BFD28CD"/>
    <w:rsid w:val="0C564F27"/>
    <w:rsid w:val="0C8637C0"/>
    <w:rsid w:val="0C895E3C"/>
    <w:rsid w:val="0DC4120D"/>
    <w:rsid w:val="0E7A5631"/>
    <w:rsid w:val="0EE9282F"/>
    <w:rsid w:val="0F9E769F"/>
    <w:rsid w:val="10487FA7"/>
    <w:rsid w:val="10A4274D"/>
    <w:rsid w:val="10B72B20"/>
    <w:rsid w:val="110C7DA0"/>
    <w:rsid w:val="12532ECF"/>
    <w:rsid w:val="12B80F43"/>
    <w:rsid w:val="12BD3979"/>
    <w:rsid w:val="13606FFE"/>
    <w:rsid w:val="139D5875"/>
    <w:rsid w:val="13AB067B"/>
    <w:rsid w:val="148574C9"/>
    <w:rsid w:val="164E6DD6"/>
    <w:rsid w:val="168D3C01"/>
    <w:rsid w:val="16F1148D"/>
    <w:rsid w:val="17362190"/>
    <w:rsid w:val="17F515EB"/>
    <w:rsid w:val="17F72161"/>
    <w:rsid w:val="19392296"/>
    <w:rsid w:val="196A7E11"/>
    <w:rsid w:val="19912C3C"/>
    <w:rsid w:val="19B42B47"/>
    <w:rsid w:val="19ED219C"/>
    <w:rsid w:val="1B8F51B1"/>
    <w:rsid w:val="1C1D3FFB"/>
    <w:rsid w:val="1C703B50"/>
    <w:rsid w:val="1DC255F1"/>
    <w:rsid w:val="1E3B0091"/>
    <w:rsid w:val="1FFE6D7B"/>
    <w:rsid w:val="210A58F7"/>
    <w:rsid w:val="21224143"/>
    <w:rsid w:val="21443648"/>
    <w:rsid w:val="224156F3"/>
    <w:rsid w:val="229C7FD7"/>
    <w:rsid w:val="22C578A3"/>
    <w:rsid w:val="23C44A20"/>
    <w:rsid w:val="23CD36C8"/>
    <w:rsid w:val="24250ADC"/>
    <w:rsid w:val="24387DB0"/>
    <w:rsid w:val="25026263"/>
    <w:rsid w:val="251F3E50"/>
    <w:rsid w:val="2544007E"/>
    <w:rsid w:val="25721252"/>
    <w:rsid w:val="258B1DCC"/>
    <w:rsid w:val="25CB2DE1"/>
    <w:rsid w:val="27161133"/>
    <w:rsid w:val="280E44B1"/>
    <w:rsid w:val="295703D1"/>
    <w:rsid w:val="29CA3345"/>
    <w:rsid w:val="2AF56548"/>
    <w:rsid w:val="2BA35890"/>
    <w:rsid w:val="2D3B4290"/>
    <w:rsid w:val="2DC87913"/>
    <w:rsid w:val="2E1C5857"/>
    <w:rsid w:val="2F101DD8"/>
    <w:rsid w:val="308777E7"/>
    <w:rsid w:val="30C12E79"/>
    <w:rsid w:val="31095D2E"/>
    <w:rsid w:val="313F295E"/>
    <w:rsid w:val="321A36F7"/>
    <w:rsid w:val="326E1DE3"/>
    <w:rsid w:val="32800025"/>
    <w:rsid w:val="32A91180"/>
    <w:rsid w:val="32DA3DA7"/>
    <w:rsid w:val="33E52551"/>
    <w:rsid w:val="34037CBE"/>
    <w:rsid w:val="34064323"/>
    <w:rsid w:val="363D3A95"/>
    <w:rsid w:val="36601905"/>
    <w:rsid w:val="368342A9"/>
    <w:rsid w:val="388C33C1"/>
    <w:rsid w:val="3A53013F"/>
    <w:rsid w:val="3B933906"/>
    <w:rsid w:val="3BCF607D"/>
    <w:rsid w:val="3CBF116A"/>
    <w:rsid w:val="3D9600CA"/>
    <w:rsid w:val="3DBF6865"/>
    <w:rsid w:val="3DD36F38"/>
    <w:rsid w:val="3E01445E"/>
    <w:rsid w:val="3F88338E"/>
    <w:rsid w:val="402A54F8"/>
    <w:rsid w:val="41471FC2"/>
    <w:rsid w:val="439F45A1"/>
    <w:rsid w:val="43A64EA0"/>
    <w:rsid w:val="4485331F"/>
    <w:rsid w:val="46B53DE9"/>
    <w:rsid w:val="479666F2"/>
    <w:rsid w:val="48784BD6"/>
    <w:rsid w:val="49C11E3C"/>
    <w:rsid w:val="49F03585"/>
    <w:rsid w:val="4A017342"/>
    <w:rsid w:val="4AE47BC0"/>
    <w:rsid w:val="4AF04D8E"/>
    <w:rsid w:val="4C03068F"/>
    <w:rsid w:val="4C4D31FF"/>
    <w:rsid w:val="4CF91E38"/>
    <w:rsid w:val="4D3F491E"/>
    <w:rsid w:val="4D680969"/>
    <w:rsid w:val="4DCC27C1"/>
    <w:rsid w:val="4E924884"/>
    <w:rsid w:val="4EB328AE"/>
    <w:rsid w:val="4ECD10B2"/>
    <w:rsid w:val="4EF307F8"/>
    <w:rsid w:val="502D5608"/>
    <w:rsid w:val="510564E9"/>
    <w:rsid w:val="526F6EB7"/>
    <w:rsid w:val="52D62C17"/>
    <w:rsid w:val="5368175A"/>
    <w:rsid w:val="53B146EE"/>
    <w:rsid w:val="54FF135A"/>
    <w:rsid w:val="55370214"/>
    <w:rsid w:val="55405D89"/>
    <w:rsid w:val="55BE5F18"/>
    <w:rsid w:val="567C340E"/>
    <w:rsid w:val="56926C0B"/>
    <w:rsid w:val="569E7250"/>
    <w:rsid w:val="56A706B7"/>
    <w:rsid w:val="5756534D"/>
    <w:rsid w:val="58136A2D"/>
    <w:rsid w:val="58BA428C"/>
    <w:rsid w:val="58EE5B51"/>
    <w:rsid w:val="592B0057"/>
    <w:rsid w:val="59910A48"/>
    <w:rsid w:val="5A0475EA"/>
    <w:rsid w:val="5A092278"/>
    <w:rsid w:val="5A835ECE"/>
    <w:rsid w:val="5AB034C4"/>
    <w:rsid w:val="5C8872BF"/>
    <w:rsid w:val="5CA31C67"/>
    <w:rsid w:val="5CF95DA2"/>
    <w:rsid w:val="5D0A07F1"/>
    <w:rsid w:val="5D7C2465"/>
    <w:rsid w:val="5F6A6E80"/>
    <w:rsid w:val="5FAE724D"/>
    <w:rsid w:val="601837F9"/>
    <w:rsid w:val="602946C7"/>
    <w:rsid w:val="60715676"/>
    <w:rsid w:val="609A5EA7"/>
    <w:rsid w:val="60B46C7F"/>
    <w:rsid w:val="61044F15"/>
    <w:rsid w:val="61861417"/>
    <w:rsid w:val="61F74B3E"/>
    <w:rsid w:val="630269CB"/>
    <w:rsid w:val="63567FB4"/>
    <w:rsid w:val="63613ADF"/>
    <w:rsid w:val="64685717"/>
    <w:rsid w:val="65C864F5"/>
    <w:rsid w:val="65E87383"/>
    <w:rsid w:val="66392372"/>
    <w:rsid w:val="666D2A57"/>
    <w:rsid w:val="66C86DDD"/>
    <w:rsid w:val="675146FC"/>
    <w:rsid w:val="67C0110B"/>
    <w:rsid w:val="688C1027"/>
    <w:rsid w:val="694B68EC"/>
    <w:rsid w:val="69BD4033"/>
    <w:rsid w:val="6ADA5787"/>
    <w:rsid w:val="6AE62E78"/>
    <w:rsid w:val="6AFA4A5E"/>
    <w:rsid w:val="6B3C10E7"/>
    <w:rsid w:val="6BCA5DE4"/>
    <w:rsid w:val="6C625A69"/>
    <w:rsid w:val="6D476EB0"/>
    <w:rsid w:val="6D485223"/>
    <w:rsid w:val="6E0E2882"/>
    <w:rsid w:val="6E3835A8"/>
    <w:rsid w:val="6E5D1B8A"/>
    <w:rsid w:val="6EC71422"/>
    <w:rsid w:val="6F060A4D"/>
    <w:rsid w:val="6F111949"/>
    <w:rsid w:val="6F4B5DC1"/>
    <w:rsid w:val="6FA6153D"/>
    <w:rsid w:val="6FE74699"/>
    <w:rsid w:val="6FF82A40"/>
    <w:rsid w:val="70353F10"/>
    <w:rsid w:val="703B573E"/>
    <w:rsid w:val="726223E3"/>
    <w:rsid w:val="74881300"/>
    <w:rsid w:val="74C27A46"/>
    <w:rsid w:val="76FD2888"/>
    <w:rsid w:val="77CD71D3"/>
    <w:rsid w:val="7889648E"/>
    <w:rsid w:val="790548E0"/>
    <w:rsid w:val="79206B25"/>
    <w:rsid w:val="7A697680"/>
    <w:rsid w:val="7A9C06A5"/>
    <w:rsid w:val="7B7C320D"/>
    <w:rsid w:val="7B9E577A"/>
    <w:rsid w:val="7C3C57EE"/>
    <w:rsid w:val="7CFB592A"/>
    <w:rsid w:val="7DE96FDF"/>
    <w:rsid w:val="7EC87B43"/>
    <w:rsid w:val="7F5E3E1B"/>
    <w:rsid w:val="7F696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0"/>
    <w:rPr>
      <w:b/>
    </w:rPr>
  </w:style>
  <w:style w:type="character" w:customStyle="1" w:styleId="8">
    <w:name w:val="页眉 字符"/>
    <w:basedOn w:val="6"/>
    <w:link w:val="3"/>
    <w:uiPriority w:val="0"/>
    <w:rPr>
      <w:rFonts w:asciiTheme="minorHAnsi" w:hAnsiTheme="minorHAnsi" w:eastAsiaTheme="minorEastAsia" w:cstheme="minorBidi"/>
      <w:kern w:val="2"/>
      <w:sz w:val="18"/>
      <w:szCs w:val="18"/>
    </w:rPr>
  </w:style>
  <w:style w:type="paragraph" w:styleId="9">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2097</Words>
  <Characters>11953</Characters>
  <Lines>99</Lines>
  <Paragraphs>28</Paragraphs>
  <TotalTime>51</TotalTime>
  <ScaleCrop>false</ScaleCrop>
  <LinksUpToDate>false</LinksUpToDate>
  <CharactersWithSpaces>14022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2021-03-15T03:20:00Z</dcterms:created>
  <dc:creator>Administrator</dc:creator>
  <cp:lastModifiedBy>皖松</cp:lastModifiedBy>
  <dcterms:modified xsi:type="dcterms:W3CDTF">2021-05-27T03:14:09Z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7CC45E30D9AC46929DE8B6949DFAB6FA</vt:lpwstr>
  </property>
</Properties>
</file>