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_GBK" w:hAnsi="宋体" w:eastAsia="方正小标宋_GBK" w:cs="宋体"/>
          <w:color w:val="000000"/>
          <w:sz w:val="32"/>
          <w:szCs w:val="32"/>
          <w:lang w:val="en-US" w:eastAsia="zh-CN"/>
        </w:rPr>
      </w:pPr>
      <w:r>
        <w:rPr>
          <w:rFonts w:hint="eastAsia" w:ascii="方正小标宋_GBK" w:hAnsi="宋体" w:eastAsia="方正小标宋_GBK" w:cs="宋体"/>
          <w:color w:val="000000"/>
          <w:sz w:val="32"/>
          <w:szCs w:val="32"/>
        </w:rPr>
        <w:t>2022年度项目支出绩效自评表及</w:t>
      </w:r>
      <w:r>
        <w:rPr>
          <w:rFonts w:hint="eastAsia" w:ascii="方正小标宋_GBK" w:hAnsi="宋体" w:eastAsia="方正小标宋_GBK" w:cs="宋体"/>
          <w:color w:val="000000"/>
          <w:sz w:val="32"/>
          <w:szCs w:val="32"/>
          <w:lang w:val="en-US" w:eastAsia="zh-CN"/>
        </w:rPr>
        <w:t>整体支出</w:t>
      </w:r>
    </w:p>
    <w:p>
      <w:pPr>
        <w:adjustRightInd w:val="0"/>
        <w:snapToGrid w:val="0"/>
        <w:spacing w:line="600" w:lineRule="exact"/>
        <w:jc w:val="center"/>
        <w:rPr>
          <w:rFonts w:hint="eastAsia" w:ascii="方正小标宋_GBK" w:hAnsi="宋体" w:eastAsia="方正小标宋_GBK" w:cs="宋体"/>
          <w:color w:val="000000"/>
          <w:sz w:val="32"/>
          <w:szCs w:val="32"/>
        </w:rPr>
      </w:pPr>
      <w:r>
        <w:rPr>
          <w:rFonts w:hint="eastAsia" w:ascii="方正小标宋_GBK" w:hAnsi="宋体" w:eastAsia="方正小标宋_GBK" w:cs="宋体"/>
          <w:color w:val="000000"/>
          <w:sz w:val="32"/>
          <w:szCs w:val="32"/>
        </w:rPr>
        <w:t>项目绩效评价报告</w:t>
      </w:r>
    </w:p>
    <w:p>
      <w:pPr>
        <w:adjustRightInd w:val="0"/>
        <w:snapToGrid w:val="0"/>
        <w:spacing w:line="600" w:lineRule="exact"/>
        <w:ind w:firstLine="360" w:firstLineChars="100"/>
        <w:rPr>
          <w:rFonts w:ascii="仿宋_GB2312" w:hAnsi="仿宋_GB2312" w:cs="仿宋_GB2312"/>
          <w:b/>
          <w:sz w:val="36"/>
          <w:szCs w:val="36"/>
        </w:rPr>
      </w:pPr>
      <w:r>
        <w:rPr>
          <w:rFonts w:hint="eastAsia" w:ascii="方正小标宋_GBK" w:hAnsi="宋体" w:eastAsia="方正小标宋_GBK" w:cs="宋体"/>
          <w:color w:val="000000"/>
          <w:sz w:val="36"/>
          <w:szCs w:val="36"/>
        </w:rPr>
        <w:t>第一部分 宿松县</w:t>
      </w:r>
      <w:r>
        <w:rPr>
          <w:rFonts w:hint="eastAsia" w:ascii="方正小标宋_GBK" w:hAnsi="宋体" w:eastAsia="方正小标宋_GBK" w:cs="宋体"/>
          <w:color w:val="000000"/>
          <w:sz w:val="36"/>
          <w:szCs w:val="36"/>
          <w:lang w:val="en-US" w:eastAsia="zh-CN"/>
        </w:rPr>
        <w:t>工商业联合会</w:t>
      </w:r>
      <w:r>
        <w:rPr>
          <w:rFonts w:hint="eastAsia" w:ascii="方正小标宋_GBK" w:hAnsi="宋体" w:eastAsia="方正小标宋_GBK" w:cs="宋体"/>
          <w:color w:val="000000"/>
          <w:sz w:val="36"/>
          <w:szCs w:val="36"/>
        </w:rPr>
        <w:t>绩效自评项目清单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2"/>
        <w:gridCol w:w="2839"/>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2" w:type="dxa"/>
            <w:noWrap w:val="0"/>
            <w:vAlign w:val="top"/>
          </w:tcPr>
          <w:p>
            <w:pPr>
              <w:spacing w:line="540" w:lineRule="exact"/>
              <w:jc w:val="center"/>
              <w:rPr>
                <w:rFonts w:ascii="方正小标宋_GBK" w:hAnsi="宋体" w:eastAsia="方正小标宋_GBK" w:cs="宋体"/>
                <w:color w:val="000000"/>
                <w:sz w:val="44"/>
                <w:szCs w:val="44"/>
              </w:rPr>
            </w:pPr>
            <w:r>
              <w:rPr>
                <w:rFonts w:hint="eastAsia" w:ascii="仿宋_GB2312" w:hAnsi="仿宋_GB2312" w:cs="仿宋_GB2312"/>
                <w:b/>
                <w:szCs w:val="32"/>
              </w:rPr>
              <w:t>序号</w:t>
            </w:r>
          </w:p>
        </w:tc>
        <w:tc>
          <w:tcPr>
            <w:tcW w:w="2839" w:type="dxa"/>
            <w:noWrap w:val="0"/>
            <w:vAlign w:val="top"/>
          </w:tcPr>
          <w:p>
            <w:pPr>
              <w:spacing w:line="540" w:lineRule="exact"/>
              <w:jc w:val="center"/>
              <w:rPr>
                <w:rFonts w:ascii="方正小标宋_GBK" w:hAnsi="宋体" w:eastAsia="方正小标宋_GBK" w:cs="宋体"/>
                <w:color w:val="000000"/>
                <w:sz w:val="44"/>
                <w:szCs w:val="44"/>
              </w:rPr>
            </w:pPr>
            <w:r>
              <w:rPr>
                <w:rFonts w:hint="eastAsia" w:ascii="仿宋_GB2312" w:hAnsi="仿宋_GB2312" w:cs="仿宋_GB2312"/>
                <w:b/>
                <w:szCs w:val="32"/>
              </w:rPr>
              <w:t>项目名称</w:t>
            </w:r>
          </w:p>
        </w:tc>
        <w:tc>
          <w:tcPr>
            <w:tcW w:w="2831" w:type="dxa"/>
            <w:noWrap w:val="0"/>
            <w:vAlign w:val="top"/>
          </w:tcPr>
          <w:p>
            <w:pPr>
              <w:spacing w:line="540" w:lineRule="exact"/>
              <w:jc w:val="center"/>
              <w:rPr>
                <w:rFonts w:hint="eastAsia" w:ascii="方正小标宋_GBK" w:hAnsi="宋体" w:eastAsia="方正小标宋_GBK" w:cs="宋体"/>
                <w:color w:val="000000"/>
                <w:sz w:val="44"/>
                <w:szCs w:val="44"/>
              </w:rPr>
            </w:pPr>
            <w:r>
              <w:rPr>
                <w:rFonts w:hint="eastAsia" w:ascii="仿宋_GB2312" w:hAnsi="仿宋_GB2312" w:cs="仿宋_GB2312"/>
                <w:b/>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2" w:type="dxa"/>
            <w:noWrap w:val="0"/>
            <w:vAlign w:val="top"/>
          </w:tcPr>
          <w:p>
            <w:pPr>
              <w:spacing w:line="540" w:lineRule="exact"/>
              <w:jc w:val="center"/>
              <w:rPr>
                <w:rFonts w:hint="eastAsia" w:ascii="仿宋_GB2312" w:hAnsi="仿宋_GB2312" w:cs="仿宋_GB2312"/>
                <w:b/>
                <w:szCs w:val="32"/>
              </w:rPr>
            </w:pPr>
            <w:r>
              <w:rPr>
                <w:rFonts w:hint="eastAsia" w:ascii="仿宋_GB2312" w:hAnsi="仿宋_GB2312" w:cs="仿宋_GB2312"/>
                <w:b/>
                <w:szCs w:val="32"/>
              </w:rPr>
              <w:t>1</w:t>
            </w:r>
          </w:p>
        </w:tc>
        <w:tc>
          <w:tcPr>
            <w:tcW w:w="2839" w:type="dxa"/>
            <w:noWrap w:val="0"/>
            <w:vAlign w:val="top"/>
          </w:tcPr>
          <w:p>
            <w:pPr>
              <w:spacing w:line="540" w:lineRule="exact"/>
              <w:jc w:val="center"/>
              <w:rPr>
                <w:rFonts w:hint="eastAsia" w:ascii="方正小标宋_GBK" w:hAnsi="宋体" w:eastAsia="方正小标宋_GBK" w:cs="宋体"/>
                <w:color w:val="000000"/>
                <w:sz w:val="44"/>
                <w:szCs w:val="44"/>
                <w:lang w:val="en-US" w:eastAsia="zh-CN"/>
              </w:rPr>
            </w:pPr>
            <w:r>
              <w:rPr>
                <w:rFonts w:hint="eastAsia" w:ascii="仿宋_GB2312" w:hAnsi="仿宋_GB2312" w:cs="仿宋_GB2312"/>
                <w:b/>
                <w:szCs w:val="32"/>
                <w:lang w:val="en-US" w:eastAsia="zh-CN"/>
              </w:rPr>
              <w:t>整体支出</w:t>
            </w:r>
          </w:p>
        </w:tc>
        <w:tc>
          <w:tcPr>
            <w:tcW w:w="2831" w:type="dxa"/>
            <w:noWrap w:val="0"/>
            <w:vAlign w:val="top"/>
          </w:tcPr>
          <w:p>
            <w:pPr>
              <w:spacing w:line="540" w:lineRule="exact"/>
              <w:jc w:val="center"/>
              <w:rPr>
                <w:rFonts w:hint="eastAsia" w:ascii="方正小标宋_GBK" w:hAnsi="宋体" w:eastAsia="方正小标宋_GBK" w:cs="宋体"/>
                <w:color w:val="000000"/>
                <w:sz w:val="44"/>
                <w:szCs w:val="44"/>
              </w:rPr>
            </w:pPr>
          </w:p>
        </w:tc>
      </w:tr>
    </w:tbl>
    <w:p>
      <w:pPr>
        <w:pStyle w:val="2"/>
        <w:jc w:val="center"/>
        <w:rPr>
          <w:rFonts w:hint="default" w:ascii="方正小标宋_GBK" w:hAnsi="宋体" w:eastAsia="方正小标宋_GBK" w:cs="宋体"/>
          <w:color w:val="000000"/>
          <w:kern w:val="2"/>
          <w:sz w:val="36"/>
          <w:szCs w:val="36"/>
          <w:lang w:val="en-US" w:eastAsia="zh-CN" w:bidi="ar-SA"/>
        </w:rPr>
      </w:pPr>
    </w:p>
    <w:p>
      <w:pPr>
        <w:spacing w:line="560" w:lineRule="exact"/>
        <w:ind w:firstLine="640" w:firstLineChars="200"/>
        <w:rPr>
          <w:rFonts w:hint="eastAsia" w:ascii="仿宋_GB2312" w:hAnsi="仿宋_GB2312" w:cs="仿宋_GB2312"/>
          <w:bCs/>
          <w:szCs w:val="32"/>
        </w:rPr>
      </w:pPr>
      <w:r>
        <w:rPr>
          <w:rFonts w:hint="eastAsia" w:ascii="仿宋_GB2312" w:hAnsi="仿宋_GB2312" w:cs="仿宋_GB2312"/>
          <w:bCs/>
          <w:szCs w:val="32"/>
          <w:lang w:val="en-US" w:eastAsia="zh-CN"/>
        </w:rPr>
        <w:t>整体支出</w:t>
      </w:r>
      <w:r>
        <w:rPr>
          <w:rFonts w:hint="eastAsia" w:ascii="仿宋_GB2312" w:hAnsi="仿宋_GB2312" w:cs="仿宋_GB2312"/>
          <w:bCs/>
          <w:szCs w:val="32"/>
        </w:rPr>
        <w:t>项目的《项目支出绩效自评表》。</w:t>
      </w: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rPr>
          <w:rFonts w:hint="eastAsia" w:ascii="仿宋_GB2312" w:hAnsi="仿宋_GB2312" w:cs="仿宋_GB2312"/>
          <w:bCs/>
          <w:szCs w:val="32"/>
        </w:rPr>
      </w:pPr>
    </w:p>
    <w:p>
      <w:pPr>
        <w:pStyle w:val="2"/>
        <w:jc w:val="both"/>
        <w:rPr>
          <w:rFonts w:hint="eastAsia" w:ascii="仿宋_GB2312" w:hAnsi="仿宋_GB2312" w:cs="仿宋_GB2312"/>
          <w:bCs/>
          <w:szCs w:val="32"/>
        </w:rPr>
      </w:pPr>
    </w:p>
    <w:tbl>
      <w:tblPr>
        <w:tblStyle w:val="3"/>
        <w:tblpPr w:leftFromText="180" w:rightFromText="180" w:vertAnchor="text" w:horzAnchor="page" w:tblpX="1465" w:tblpY="-9121"/>
        <w:tblOverlap w:val="never"/>
        <w:tblW w:w="9080" w:type="dxa"/>
        <w:tblInd w:w="0" w:type="dxa"/>
        <w:tblLayout w:type="fixed"/>
        <w:tblCellMar>
          <w:top w:w="0" w:type="dxa"/>
          <w:left w:w="108" w:type="dxa"/>
          <w:bottom w:w="0" w:type="dxa"/>
          <w:right w:w="108" w:type="dxa"/>
        </w:tblCellMar>
      </w:tblPr>
      <w:tblGrid>
        <w:gridCol w:w="588"/>
        <w:gridCol w:w="822"/>
        <w:gridCol w:w="1080"/>
        <w:gridCol w:w="920"/>
        <w:gridCol w:w="1825"/>
        <w:gridCol w:w="900"/>
        <w:gridCol w:w="780"/>
        <w:gridCol w:w="606"/>
        <w:gridCol w:w="549"/>
        <w:gridCol w:w="302"/>
        <w:gridCol w:w="708"/>
      </w:tblGrid>
      <w:tr>
        <w:tblPrEx>
          <w:tblCellMar>
            <w:top w:w="0" w:type="dxa"/>
            <w:left w:w="108" w:type="dxa"/>
            <w:bottom w:w="0" w:type="dxa"/>
            <w:right w:w="108" w:type="dxa"/>
          </w:tblCellMar>
        </w:tblPrEx>
        <w:trPr>
          <w:trHeight w:val="201" w:hRule="atLeast"/>
        </w:trPr>
        <w:tc>
          <w:tcPr>
            <w:tcW w:w="9080" w:type="dxa"/>
            <w:gridSpan w:val="11"/>
            <w:tcBorders>
              <w:top w:val="nil"/>
              <w:left w:val="nil"/>
              <w:bottom w:val="nil"/>
              <w:right w:val="nil"/>
            </w:tcBorders>
            <w:noWrap w:val="0"/>
            <w:vAlign w:val="top"/>
          </w:tcPr>
          <w:p>
            <w:pPr>
              <w:widowControl/>
              <w:jc w:val="center"/>
              <w:rPr>
                <w:rFonts w:hint="eastAsia" w:ascii="宋体" w:hAnsi="宋体" w:eastAsia="宋体" w:cs="宋体"/>
                <w:kern w:val="0"/>
                <w:sz w:val="22"/>
                <w:szCs w:val="22"/>
              </w:rPr>
            </w:pPr>
          </w:p>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整体支出项目支出绩效自评表</w:t>
            </w:r>
          </w:p>
          <w:p>
            <w:pPr>
              <w:widowControl/>
              <w:jc w:val="center"/>
              <w:rPr>
                <w:rFonts w:ascii="宋体" w:hAnsi="宋体" w:eastAsia="宋体" w:cs="宋体"/>
                <w:kern w:val="0"/>
                <w:sz w:val="22"/>
                <w:szCs w:val="22"/>
              </w:rPr>
            </w:pPr>
            <w:r>
              <w:rPr>
                <w:rFonts w:hint="eastAsia" w:ascii="宋体" w:hAnsi="宋体" w:eastAsia="宋体" w:cs="宋体"/>
                <w:kern w:val="0"/>
                <w:sz w:val="22"/>
                <w:szCs w:val="22"/>
              </w:rPr>
              <w:t>（  2022 年度）</w:t>
            </w:r>
          </w:p>
        </w:tc>
      </w:tr>
      <w:tr>
        <w:tblPrEx>
          <w:tblCellMar>
            <w:top w:w="0" w:type="dxa"/>
            <w:left w:w="108" w:type="dxa"/>
            <w:bottom w:w="0" w:type="dxa"/>
            <w:right w:w="108" w:type="dxa"/>
          </w:tblCellMar>
        </w:tblPrEx>
        <w:trPr>
          <w:trHeight w:val="300" w:hRule="exac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 目 名 称</w:t>
            </w:r>
          </w:p>
        </w:tc>
        <w:tc>
          <w:tcPr>
            <w:tcW w:w="7670"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整体支出项目</w:t>
            </w:r>
          </w:p>
        </w:tc>
      </w:tr>
      <w:tr>
        <w:tblPrEx>
          <w:tblCellMar>
            <w:top w:w="0" w:type="dxa"/>
            <w:left w:w="108" w:type="dxa"/>
            <w:bottom w:w="0" w:type="dxa"/>
            <w:right w:w="108" w:type="dxa"/>
          </w:tblCellMar>
        </w:tblPrEx>
        <w:trPr>
          <w:trHeight w:val="300" w:hRule="exac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 管 部 门</w:t>
            </w:r>
          </w:p>
        </w:tc>
        <w:tc>
          <w:tcPr>
            <w:tcW w:w="47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宿松县工商业联合会</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16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宿松县工商业联合会</w:t>
            </w:r>
          </w:p>
        </w:tc>
      </w:tr>
      <w:tr>
        <w:tblPrEx>
          <w:tblCellMar>
            <w:top w:w="0" w:type="dxa"/>
            <w:left w:w="108" w:type="dxa"/>
            <w:bottom w:w="0" w:type="dxa"/>
            <w:right w:w="108" w:type="dxa"/>
          </w:tblCellMar>
        </w:tblPrEx>
        <w:trPr>
          <w:trHeight w:val="300" w:hRule="exact"/>
        </w:trPr>
        <w:tc>
          <w:tcPr>
            <w:tcW w:w="14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20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trPr>
        <w:tc>
          <w:tcPr>
            <w:tcW w:w="14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0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8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160.05</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160.05</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160.05</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trPr>
        <w:tc>
          <w:tcPr>
            <w:tcW w:w="14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0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8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160.05</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160.05</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160.05</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14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0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8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14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0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8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54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  期  目  标</w:t>
            </w:r>
          </w:p>
        </w:tc>
        <w:tc>
          <w:tcPr>
            <w:tcW w:w="29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 际 完 成 情 况</w:t>
            </w:r>
          </w:p>
        </w:tc>
      </w:tr>
      <w:tr>
        <w:tblPrEx>
          <w:tblCellMar>
            <w:top w:w="0" w:type="dxa"/>
            <w:left w:w="108" w:type="dxa"/>
            <w:bottom w:w="0" w:type="dxa"/>
            <w:right w:w="108" w:type="dxa"/>
          </w:tblCellMar>
        </w:tblPrEx>
        <w:trPr>
          <w:trHeight w:val="597" w:hRule="exact"/>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54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聚力抓好党的二十大学习贯彻、商协会平台建设、“双招双引”工作、民营企业家队伍建设、优化营商环境以及“万企兴万村”行动。</w:t>
            </w:r>
          </w:p>
        </w:tc>
        <w:tc>
          <w:tcPr>
            <w:tcW w:w="29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保障工商联在职人员的正常办公。</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在职人员</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人</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在职人员</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人</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基本满足退休人员生活需求。</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退休人员</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人</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退休人员</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人</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做好全县民营企业调查点评营商环境的工作指导。</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全县28个民营企业</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全县28个民营企业</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保障工商联在职人员的正常办公。</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100%</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100%</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基本满足退休人员生活需求。</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100%</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100%</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维持机关工作正常高效运转。</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100%</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建设商协会平台，做好“双招双引”工作。</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100%</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优化营商环境，抓好民营企业家队伍建设。</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100%</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聚力“万企兴万村”行动，推动产业扶贫，带动乡村振兴。</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100%</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100%</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按年度工作计划开展各项工作。</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按计划开展工作</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按计划开展工作</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按资金支出计划保证支出进度。</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按计划支出资金</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按计划支出资金</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总成本控制年度预算申请范围内。</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600</w:t>
            </w:r>
            <w:r>
              <w:rPr>
                <w:rFonts w:hint="eastAsia" w:ascii="宋体" w:hAnsi="宋体" w:eastAsia="宋体" w:cs="宋体"/>
                <w:kern w:val="0"/>
                <w:sz w:val="18"/>
                <w:szCs w:val="18"/>
              </w:rPr>
              <w:t>5</w:t>
            </w:r>
            <w:r>
              <w:rPr>
                <w:rFonts w:hint="eastAsia" w:ascii="宋体" w:hAnsi="宋体" w:eastAsia="宋体" w:cs="宋体"/>
                <w:kern w:val="0"/>
                <w:sz w:val="18"/>
                <w:szCs w:val="18"/>
                <w:lang w:val="en-US" w:eastAsia="zh-CN"/>
              </w:rPr>
              <w:t>00.00</w:t>
            </w:r>
            <w:r>
              <w:rPr>
                <w:rFonts w:hint="eastAsia" w:ascii="宋体" w:hAnsi="宋体" w:eastAsia="宋体" w:cs="宋体"/>
                <w:kern w:val="0"/>
                <w:sz w:val="18"/>
                <w:szCs w:val="18"/>
              </w:rPr>
              <w:t>元</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600</w:t>
            </w:r>
            <w:r>
              <w:rPr>
                <w:rFonts w:hint="eastAsia" w:ascii="宋体" w:hAnsi="宋体" w:eastAsia="宋体" w:cs="宋体"/>
                <w:kern w:val="0"/>
                <w:sz w:val="18"/>
                <w:szCs w:val="18"/>
              </w:rPr>
              <w:t>5</w:t>
            </w:r>
            <w:r>
              <w:rPr>
                <w:rFonts w:hint="eastAsia" w:ascii="宋体" w:hAnsi="宋体" w:eastAsia="宋体" w:cs="宋体"/>
                <w:kern w:val="0"/>
                <w:sz w:val="18"/>
                <w:szCs w:val="18"/>
                <w:lang w:val="en-US" w:eastAsia="zh-CN"/>
              </w:rPr>
              <w:t>00.00</w:t>
            </w:r>
            <w:r>
              <w:rPr>
                <w:rFonts w:hint="eastAsia" w:ascii="宋体" w:hAnsi="宋体" w:eastAsia="宋体" w:cs="宋体"/>
                <w:kern w:val="0"/>
                <w:sz w:val="18"/>
                <w:szCs w:val="18"/>
              </w:rPr>
              <w:t>元</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“双招双引”工作通过招商引资、带动就业，增加地方税收。</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增加地方税收</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增加地方税收</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“万企兴万村”行动，推动产业扶贫，带动乡村振兴。</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拓展地方产业</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拓展地方产业</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提升扩大宿松县工商联对外影响，提升知名度。</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知名度有效提升</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知名度有效提升</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民营企业提质增效，优化营商环境。</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营商环境有效改善</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营商环境有效改善</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体现政策导向，长期保障工作平稳进行。</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平稳进行</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平稳进行</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相关部门对工商联工作开展的满意度</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≥98%</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98%</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3</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继续提高满意度</w:t>
            </w:r>
          </w:p>
        </w:tc>
      </w:tr>
      <w:tr>
        <w:tblPrEx>
          <w:tblCellMar>
            <w:top w:w="0" w:type="dxa"/>
            <w:left w:w="108" w:type="dxa"/>
            <w:bottom w:w="0" w:type="dxa"/>
            <w:right w:w="108" w:type="dxa"/>
          </w:tblCellMar>
        </w:tblPrEx>
        <w:trPr>
          <w:trHeight w:val="136" w:hRule="atLeas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2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相关企业对工商联工作开展的满意度</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≥98%</w:t>
            </w:r>
          </w:p>
        </w:tc>
        <w:tc>
          <w:tcPr>
            <w:tcW w:w="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98%</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3</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继续提高满意度</w:t>
            </w:r>
          </w:p>
        </w:tc>
      </w:tr>
      <w:tr>
        <w:tblPrEx>
          <w:tblCellMar>
            <w:top w:w="0" w:type="dxa"/>
            <w:left w:w="108" w:type="dxa"/>
            <w:bottom w:w="0" w:type="dxa"/>
            <w:right w:w="108" w:type="dxa"/>
          </w:tblCellMar>
        </w:tblPrEx>
        <w:trPr>
          <w:trHeight w:val="390" w:hRule="exact"/>
        </w:trPr>
        <w:tc>
          <w:tcPr>
            <w:tcW w:w="691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4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96</w:t>
            </w:r>
          </w:p>
        </w:tc>
        <w:tc>
          <w:tcPr>
            <w:tcW w:w="10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pStyle w:val="2"/>
        <w:numPr>
          <w:ilvl w:val="0"/>
          <w:numId w:val="0"/>
        </w:numPr>
        <w:jc w:val="center"/>
        <w:rPr>
          <w:rFonts w:ascii="方正小标宋_GBK" w:hAnsi="宋体" w:eastAsia="方正小标宋_GBK" w:cs="宋体"/>
          <w:color w:val="000000"/>
          <w:szCs w:val="36"/>
        </w:rPr>
      </w:pPr>
      <w:r>
        <w:rPr>
          <w:rFonts w:hint="eastAsia" w:ascii="方正小标宋_GBK" w:hAnsi="宋体" w:eastAsia="方正小标宋_GBK" w:cs="宋体"/>
          <w:color w:val="000000"/>
          <w:szCs w:val="36"/>
          <w:lang w:val="en-US" w:eastAsia="zh-CN"/>
        </w:rPr>
        <w:t xml:space="preserve">第二部分 </w:t>
      </w:r>
      <w:r>
        <w:rPr>
          <w:rFonts w:hint="eastAsia" w:ascii="方正小标宋_GBK" w:hAnsi="宋体" w:eastAsia="方正小标宋_GBK" w:cs="宋体"/>
          <w:color w:val="000000"/>
          <w:szCs w:val="36"/>
        </w:rPr>
        <w:t>部门评价报告</w:t>
      </w:r>
    </w:p>
    <w:p>
      <w:pPr>
        <w:spacing w:line="540" w:lineRule="exact"/>
        <w:jc w:val="center"/>
        <w:rPr>
          <w:rFonts w:hint="eastAsia" w:ascii="方正小标宋_GBK" w:eastAsia="方正小标宋_GBK"/>
          <w:sz w:val="36"/>
          <w:szCs w:val="36"/>
        </w:rPr>
      </w:pPr>
      <w:r>
        <w:rPr>
          <w:rFonts w:hint="eastAsia" w:ascii="方正小标宋_GBK" w:hAnsi="宋体" w:eastAsia="方正小标宋_GBK" w:cs="宋体"/>
          <w:color w:val="000000"/>
          <w:sz w:val="36"/>
          <w:szCs w:val="36"/>
        </w:rPr>
        <w:t>2022年度</w:t>
      </w:r>
      <w:r>
        <w:rPr>
          <w:rFonts w:hint="eastAsia" w:ascii="方正小标宋_GBK" w:hAnsi="宋体" w:eastAsia="方正小标宋_GBK" w:cs="宋体"/>
          <w:color w:val="000000"/>
          <w:sz w:val="36"/>
          <w:szCs w:val="36"/>
          <w:lang w:val="en-US" w:eastAsia="zh-CN"/>
        </w:rPr>
        <w:t>整体支出</w:t>
      </w:r>
      <w:r>
        <w:rPr>
          <w:rFonts w:hint="eastAsia" w:ascii="方正小标宋_GBK" w:hAnsi="Arial" w:eastAsia="方正小标宋_GBK" w:cs="Arial"/>
          <w:sz w:val="36"/>
          <w:szCs w:val="36"/>
        </w:rPr>
        <w:t>项目支出绩效评价报告</w:t>
      </w:r>
    </w:p>
    <w:p>
      <w:pPr>
        <w:pStyle w:val="2"/>
        <w:jc w:val="both"/>
        <w:rPr>
          <w:rFonts w:hint="eastAsia"/>
        </w:rPr>
      </w:pPr>
      <w:bookmarkStart w:id="0" w:name="_GoBack"/>
      <w:bookmarkEnd w:id="0"/>
    </w:p>
    <w:p>
      <w:pPr>
        <w:spacing w:line="540" w:lineRule="exact"/>
        <w:ind w:firstLine="600"/>
        <w:rPr>
          <w:rFonts w:ascii="黑体" w:hAnsi="黑体" w:eastAsia="黑体" w:cs="黑体"/>
          <w:sz w:val="32"/>
          <w:szCs w:val="32"/>
        </w:rPr>
      </w:pPr>
      <w:r>
        <w:rPr>
          <w:rFonts w:ascii="黑体" w:hAnsi="黑体" w:eastAsia="黑体" w:cs="黑体"/>
          <w:sz w:val="32"/>
          <w:szCs w:val="32"/>
        </w:rPr>
        <w:t>一、</w:t>
      </w:r>
      <w:r>
        <w:rPr>
          <w:rFonts w:hint="eastAsia" w:ascii="黑体" w:hAnsi="黑体" w:eastAsia="黑体" w:cs="黑体"/>
          <w:sz w:val="32"/>
          <w:szCs w:val="32"/>
        </w:rPr>
        <w:t>项目</w:t>
      </w:r>
      <w:r>
        <w:rPr>
          <w:rFonts w:ascii="黑体" w:hAnsi="黑体" w:eastAsia="黑体" w:cs="黑体"/>
          <w:sz w:val="32"/>
          <w:szCs w:val="32"/>
        </w:rPr>
        <w:t>基本情况</w:t>
      </w:r>
    </w:p>
    <w:p>
      <w:pPr>
        <w:keepNext w:val="0"/>
        <w:keepLines w:val="0"/>
        <w:pageBreakBefore w:val="0"/>
        <w:kinsoku/>
        <w:wordWrap/>
        <w:overflowPunct/>
        <w:topLinePunct w:val="0"/>
        <w:autoSpaceDE/>
        <w:autoSpaceDN/>
        <w:bidi w:val="0"/>
        <w:adjustRightInd/>
        <w:spacing w:line="580" w:lineRule="exact"/>
        <w:ind w:leftChars="0" w:firstLine="643" w:firstLineChars="200"/>
        <w:textAlignment w:val="auto"/>
        <w:rPr>
          <w:rFonts w:hint="eastAsia" w:ascii="仿宋_GB2312" w:hAnsi="仿宋" w:cs="Times New Roman"/>
          <w:b/>
          <w:szCs w:val="32"/>
        </w:rPr>
      </w:pPr>
      <w:r>
        <w:rPr>
          <w:rFonts w:hint="eastAsia" w:ascii="仿宋_GB2312" w:hAnsi="仿宋" w:cs="Times New Roman"/>
          <w:b/>
          <w:szCs w:val="32"/>
        </w:rPr>
        <w:t>（一）项目概况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rPr>
        <w:t>宿松县工商业联合会202</w:t>
      </w:r>
      <w:r>
        <w:rPr>
          <w:rFonts w:hint="eastAsia"/>
          <w:lang w:val="en-US" w:eastAsia="zh-CN"/>
        </w:rPr>
        <w:t>2</w:t>
      </w:r>
      <w:r>
        <w:rPr>
          <w:rFonts w:hint="eastAsia"/>
        </w:rPr>
        <w:t>年部门</w:t>
      </w:r>
      <w:r>
        <w:rPr>
          <w:rFonts w:hint="eastAsia"/>
          <w:lang w:eastAsia="zh-CN"/>
        </w:rPr>
        <w:t>决算</w:t>
      </w:r>
      <w:r>
        <w:rPr>
          <w:rFonts w:hint="eastAsia"/>
        </w:rPr>
        <w:t>中</w:t>
      </w:r>
      <w:r>
        <w:rPr>
          <w:rFonts w:hint="eastAsia"/>
          <w:lang w:eastAsia="zh-CN"/>
        </w:rPr>
        <w:t>共使用资金</w:t>
      </w:r>
      <w:r>
        <w:rPr>
          <w:rFonts w:hint="eastAsia"/>
          <w:lang w:val="en-US" w:eastAsia="zh-CN"/>
        </w:rPr>
        <w:t>160.05万元</w:t>
      </w:r>
      <w:r>
        <w:rPr>
          <w:rFonts w:hint="eastAsia"/>
        </w:rPr>
        <w:t>。</w:t>
      </w:r>
      <w:r>
        <w:rPr>
          <w:rFonts w:hint="eastAsia" w:ascii="仿宋_GB2312" w:hAnsi="仿宋"/>
          <w:szCs w:val="32"/>
        </w:rPr>
        <w:t>其中人员经费支出</w:t>
      </w:r>
      <w:r>
        <w:rPr>
          <w:rFonts w:hint="eastAsia" w:ascii="仿宋_GB2312" w:hAnsi="仿宋"/>
          <w:szCs w:val="32"/>
          <w:lang w:val="en-US" w:eastAsia="zh-CN"/>
        </w:rPr>
        <w:t>92.71</w:t>
      </w:r>
      <w:r>
        <w:rPr>
          <w:rFonts w:hint="eastAsia" w:ascii="仿宋_GB2312" w:hAnsi="仿宋"/>
          <w:szCs w:val="32"/>
        </w:rPr>
        <w:t>万元，公用经费支出</w:t>
      </w:r>
      <w:r>
        <w:rPr>
          <w:rFonts w:hint="eastAsia" w:ascii="仿宋_GB2312" w:hAnsi="仿宋"/>
          <w:szCs w:val="32"/>
          <w:lang w:val="en-US" w:eastAsia="zh-CN"/>
        </w:rPr>
        <w:t>67.34</w:t>
      </w:r>
      <w:r>
        <w:rPr>
          <w:rFonts w:hint="eastAsia" w:ascii="仿宋_GB2312" w:hAnsi="仿宋"/>
          <w:szCs w:val="32"/>
        </w:rPr>
        <w:t>万元</w:t>
      </w:r>
      <w:r>
        <w:rPr>
          <w:rFonts w:hint="eastAsia" w:ascii="仿宋_GB2312" w:hAnsi="仿宋"/>
          <w:szCs w:val="32"/>
          <w:lang w:val="en-US" w:eastAsia="zh-CN"/>
        </w:rPr>
        <w:t>.</w:t>
      </w:r>
      <w:r>
        <w:rPr>
          <w:rFonts w:ascii="仿宋" w:hAnsi="仿宋" w:eastAsia="仿宋" w:cs="仿宋_GB2312"/>
          <w:color w:val="000000"/>
          <w:sz w:val="32"/>
          <w:szCs w:val="32"/>
        </w:rPr>
        <w:t>20</w:t>
      </w:r>
      <w:r>
        <w:rPr>
          <w:rFonts w:hint="eastAsia" w:ascii="仿宋" w:hAnsi="仿宋" w:eastAsia="仿宋" w:cs="仿宋_GB2312"/>
          <w:color w:val="000000"/>
          <w:sz w:val="32"/>
          <w:szCs w:val="32"/>
        </w:rPr>
        <w:t>22年，宿松县工商联</w:t>
      </w:r>
      <w:r>
        <w:rPr>
          <w:rFonts w:hint="eastAsia" w:ascii="仿宋" w:hAnsi="仿宋" w:eastAsia="仿宋" w:cs="仿宋_GB2312"/>
          <w:color w:val="000000"/>
          <w:sz w:val="32"/>
          <w:szCs w:val="32"/>
          <w:lang w:val="en-US" w:eastAsia="zh-CN"/>
        </w:rPr>
        <w:t>在县委、县政府的坚强领导下，始终坚持以习近平新时代中国特色社会主义思想为指导，</w:t>
      </w:r>
      <w:r>
        <w:rPr>
          <w:rFonts w:ascii="仿宋" w:hAnsi="仿宋" w:eastAsia="仿宋" w:cs="仿宋_GB2312"/>
          <w:color w:val="000000"/>
          <w:sz w:val="32"/>
          <w:szCs w:val="32"/>
        </w:rPr>
        <w:t>认真贯彻</w:t>
      </w:r>
      <w:r>
        <w:rPr>
          <w:rFonts w:hint="eastAsia" w:ascii="仿宋" w:hAnsi="仿宋" w:eastAsia="仿宋" w:cs="仿宋_GB2312"/>
          <w:color w:val="000000"/>
          <w:sz w:val="32"/>
          <w:szCs w:val="32"/>
        </w:rPr>
        <w:t>落实</w:t>
      </w:r>
      <w:r>
        <w:rPr>
          <w:rFonts w:ascii="仿宋" w:hAnsi="仿宋" w:eastAsia="仿宋" w:cs="仿宋_GB2312"/>
          <w:color w:val="000000"/>
          <w:sz w:val="32"/>
          <w:szCs w:val="32"/>
        </w:rPr>
        <w:t>省、市、县委决策部署，</w:t>
      </w:r>
      <w:r>
        <w:rPr>
          <w:rFonts w:hint="eastAsia" w:ascii="仿宋" w:hAnsi="仿宋" w:eastAsia="仿宋" w:cs="仿宋_GB2312"/>
          <w:color w:val="000000"/>
          <w:kern w:val="0"/>
          <w:sz w:val="32"/>
          <w:szCs w:val="32"/>
          <w:lang w:val="zh-TW" w:eastAsia="zh-TW" w:bidi="zh-TW"/>
        </w:rPr>
        <w:t>坚持</w:t>
      </w:r>
      <w:r>
        <w:rPr>
          <w:rFonts w:ascii="仿宋" w:hAnsi="仿宋" w:eastAsia="仿宋" w:cs="仿宋_GB2312"/>
          <w:color w:val="000000"/>
          <w:kern w:val="0"/>
          <w:sz w:val="32"/>
          <w:szCs w:val="32"/>
          <w:lang w:val="zh-TW" w:eastAsia="zh-TW" w:bidi="zh-TW"/>
        </w:rPr>
        <w:t>政治建会、团结立会、服务兴会、改革强会,</w:t>
      </w:r>
      <w:r>
        <w:rPr>
          <w:rFonts w:hint="eastAsia" w:ascii="仿宋" w:hAnsi="仿宋" w:eastAsia="仿宋" w:cs="仿宋_GB2312"/>
          <w:color w:val="000000"/>
          <w:sz w:val="32"/>
          <w:szCs w:val="32"/>
          <w:lang w:val="en-US" w:eastAsia="zh-CN"/>
        </w:rPr>
        <w:t>工作取得一定成效。</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 w:cs="Times New Roman"/>
          <w:b/>
          <w:szCs w:val="32"/>
        </w:rPr>
      </w:pPr>
      <w:r>
        <w:rPr>
          <w:rFonts w:hint="eastAsia" w:ascii="仿宋_GB2312" w:hAnsi="仿宋" w:cs="Times New Roman"/>
          <w:b/>
          <w:szCs w:val="32"/>
        </w:rPr>
        <w:t>项目绩效目标</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rPr>
        <w:t>项目绩效的总体目标是完成各项工作任务，达到预期目标。</w:t>
      </w:r>
    </w:p>
    <w:p>
      <w:pPr>
        <w:spacing w:line="540" w:lineRule="exact"/>
        <w:ind w:firstLine="600"/>
        <w:rPr>
          <w:rFonts w:ascii="黑体" w:hAnsi="黑体" w:eastAsia="黑体" w:cs="黑体"/>
          <w:sz w:val="32"/>
          <w:szCs w:val="32"/>
        </w:rPr>
      </w:pPr>
      <w:r>
        <w:rPr>
          <w:rFonts w:ascii="黑体" w:hAnsi="黑体" w:eastAsia="黑体" w:cs="黑体"/>
          <w:sz w:val="32"/>
          <w:szCs w:val="32"/>
        </w:rPr>
        <w:t>二、绩效评价工作开展情况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cs="Times New Roman"/>
          <w:b/>
          <w:szCs w:val="32"/>
        </w:rPr>
      </w:pPr>
      <w:r>
        <w:rPr>
          <w:rFonts w:hint="eastAsia" w:ascii="仿宋_GB2312" w:hAnsi="仿宋" w:cs="Times New Roman"/>
          <w:b/>
          <w:szCs w:val="32"/>
        </w:rPr>
        <w:t>（一）绩效评价目的、对象和范围</w:t>
      </w:r>
    </w:p>
    <w:p>
      <w:pPr>
        <w:adjustRightInd w:val="0"/>
        <w:snapToGrid w:val="0"/>
        <w:spacing w:line="600" w:lineRule="exact"/>
        <w:ind w:firstLine="640" w:firstLineChars="200"/>
        <w:rPr>
          <w:rFonts w:hint="eastAsia" w:ascii="仿宋_GB2312" w:hAnsi="仿宋"/>
          <w:szCs w:val="32"/>
        </w:rPr>
      </w:pPr>
      <w:r>
        <w:rPr>
          <w:rFonts w:hint="eastAsia" w:ascii="仿宋_GB2312" w:hAnsi="仿宋"/>
          <w:szCs w:val="32"/>
        </w:rPr>
        <w:t xml:space="preserve">1.绩效评价的目的加强预算绩效管理，提高资金使用效益，盘活存量、优化增量。 </w:t>
      </w:r>
    </w:p>
    <w:p>
      <w:pPr>
        <w:adjustRightInd w:val="0"/>
        <w:snapToGrid w:val="0"/>
        <w:spacing w:line="600" w:lineRule="exact"/>
        <w:ind w:firstLine="640" w:firstLineChars="200"/>
        <w:rPr>
          <w:rFonts w:hint="eastAsia" w:ascii="仿宋_GB2312" w:hAnsi="仿宋"/>
          <w:szCs w:val="32"/>
        </w:rPr>
      </w:pPr>
      <w:r>
        <w:rPr>
          <w:rFonts w:hint="eastAsia" w:ascii="仿宋_GB2312" w:hAnsi="仿宋"/>
          <w:szCs w:val="32"/>
        </w:rPr>
        <w:t>2.绩效评价的对象包括基本支出和项目支出在内的部门预算支出，项目一般以行政事业类项目或其他类项目为主，包括重大项目和一般性项目。</w:t>
      </w:r>
    </w:p>
    <w:p>
      <w:pPr>
        <w:adjustRightInd w:val="0"/>
        <w:snapToGrid w:val="0"/>
        <w:spacing w:line="600" w:lineRule="exact"/>
        <w:ind w:firstLine="640" w:firstLineChars="200"/>
      </w:pPr>
      <w:r>
        <w:rPr>
          <w:rFonts w:hint="eastAsia" w:ascii="仿宋_GB2312" w:hAnsi="仿宋"/>
          <w:szCs w:val="32"/>
        </w:rPr>
        <w:t>3.绩效评价的范围是财政资金使用情况、财务管理状况和资产配置、使用、处置及其收益管理情况以及绩效目标的实现程度，包括是否达到预定产出和效果等。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cs="Times New Roman"/>
          <w:b/>
          <w:szCs w:val="32"/>
        </w:rPr>
      </w:pPr>
      <w:r>
        <w:rPr>
          <w:rFonts w:hint="eastAsia" w:ascii="仿宋_GB2312" w:hAnsi="仿宋" w:cs="Times New Roman"/>
          <w:b/>
          <w:szCs w:val="32"/>
        </w:rPr>
        <w:t>（二）绩效评价原则、评价指标体系、评价方法、评价标准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szCs w:val="32"/>
        </w:rPr>
      </w:pPr>
      <w:r>
        <w:rPr>
          <w:rFonts w:hint="eastAsia" w:ascii="仿宋_GB2312" w:hAnsi="仿宋"/>
          <w:szCs w:val="32"/>
        </w:rPr>
        <w:t>根据单位各项工作计划和任务要求，按照“量入为出，统筹兼顾，保证重点，收支平衡”的原则，认真总结分析上年度预算执行情况和下年度工作任务，及时编报预算。进一步提升全面实施预算绩效管理工作规范化、制度化、科学化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（三）绩效评价工作过程。</w:t>
      </w:r>
      <w:r>
        <w:rPr>
          <w:rFonts w:hint="eastAsia" w:ascii="仿宋_GB2312" w:hAnsi="仿宋"/>
          <w:szCs w:val="32"/>
        </w:rPr>
        <w:t>将项目全面纳入预算绩效管理，从数量、质量、时效、成本、效益等方面对项目进行评价，建立动态评价调整机制，政策到期、绩效低下的项目要及时清理退出。</w:t>
      </w:r>
    </w:p>
    <w:p>
      <w:pPr>
        <w:spacing w:line="540" w:lineRule="exact"/>
        <w:ind w:firstLine="600"/>
        <w:rPr>
          <w:rFonts w:ascii="黑体" w:hAnsi="黑体" w:eastAsia="黑体" w:cs="黑体"/>
          <w:sz w:val="32"/>
          <w:szCs w:val="32"/>
        </w:rPr>
      </w:pPr>
      <w:r>
        <w:rPr>
          <w:rFonts w:ascii="黑体" w:hAnsi="黑体" w:eastAsia="黑体" w:cs="黑体"/>
          <w:sz w:val="32"/>
          <w:szCs w:val="32"/>
        </w:rPr>
        <w:t>三、综合评价情况及评价结论</w:t>
      </w:r>
    </w:p>
    <w:p>
      <w:pPr>
        <w:adjustRightInd w:val="0"/>
        <w:snapToGrid w:val="0"/>
        <w:spacing w:line="600" w:lineRule="exact"/>
        <w:ind w:firstLine="640" w:firstLineChars="200"/>
        <w:rPr>
          <w:rFonts w:hint="eastAsia" w:ascii="仿宋_GB2312" w:hAnsi="仿宋"/>
          <w:szCs w:val="32"/>
        </w:rPr>
      </w:pPr>
      <w:r>
        <w:rPr>
          <w:rFonts w:hint="eastAsia" w:ascii="仿宋_GB2312" w:hAnsi="仿宋"/>
          <w:szCs w:val="32"/>
        </w:rPr>
        <w:t>宿松县工商业联合会财政预算支出全面落实到位，较好地执行了年初预算各项资金计划；款项支付规范，专款专用，按照相关政策进行资金管理，账务核算及时规范，保障了机关正常运转；</w:t>
      </w:r>
    </w:p>
    <w:p>
      <w:pPr>
        <w:spacing w:line="540" w:lineRule="exact"/>
        <w:ind w:firstLine="600"/>
        <w:rPr>
          <w:rFonts w:hint="eastAsia" w:ascii="仿宋_GB2312" w:hAnsi="仿宋"/>
          <w:szCs w:val="32"/>
        </w:rPr>
      </w:pPr>
      <w:r>
        <w:rPr>
          <w:rFonts w:hint="eastAsia" w:ascii="仿宋_GB2312" w:hAnsi="仿宋"/>
          <w:szCs w:val="32"/>
        </w:rPr>
        <w:t>积极履职，强化管理，较好地完成了年度工作目标。</w:t>
      </w:r>
    </w:p>
    <w:p>
      <w:pPr>
        <w:spacing w:line="540" w:lineRule="exact"/>
        <w:ind w:firstLine="600"/>
        <w:rPr>
          <w:rFonts w:ascii="黑体" w:hAnsi="黑体" w:eastAsia="黑体" w:cs="黑体"/>
          <w:sz w:val="32"/>
          <w:szCs w:val="32"/>
        </w:rPr>
      </w:pPr>
      <w:r>
        <w:rPr>
          <w:rFonts w:ascii="黑体" w:hAnsi="黑体" w:eastAsia="黑体" w:cs="黑体"/>
          <w:sz w:val="32"/>
          <w:szCs w:val="32"/>
        </w:rPr>
        <w:t>四、绩效评价指标分析</w:t>
      </w:r>
    </w:p>
    <w:p>
      <w:pPr>
        <w:numPr>
          <w:ilvl w:val="0"/>
          <w:numId w:val="2"/>
        </w:numPr>
        <w:adjustRightInd w:val="0"/>
        <w:snapToGrid w:val="0"/>
        <w:spacing w:line="600" w:lineRule="exact"/>
        <w:ind w:firstLine="640" w:firstLineChars="200"/>
        <w:rPr>
          <w:rFonts w:hint="eastAsia" w:ascii="仿宋_GB2312" w:hAnsi="仿宋"/>
          <w:szCs w:val="32"/>
        </w:rPr>
      </w:pPr>
      <w:r>
        <w:rPr>
          <w:rFonts w:ascii="仿宋_GB2312" w:hAnsi="仿宋_GB2312" w:eastAsia="仿宋_GB2312" w:cs="仿宋_GB2312"/>
          <w:sz w:val="32"/>
          <w:szCs w:val="32"/>
        </w:rPr>
        <w:t>项目决策情况。</w:t>
      </w: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年宿松县工商联的预算严格按照量入为出的的原则，进行把关、审核支出。严格执行财务制度。</w:t>
      </w:r>
    </w:p>
    <w:p>
      <w:pPr>
        <w:adjustRightInd w:val="0"/>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（二）项目</w:t>
      </w:r>
      <w:r>
        <w:rPr>
          <w:rFonts w:hint="eastAsia" w:ascii="仿宋_GB2312" w:hAnsi="仿宋_GB2312" w:eastAsia="仿宋_GB2312" w:cs="仿宋_GB2312"/>
          <w:sz w:val="32"/>
          <w:szCs w:val="32"/>
        </w:rPr>
        <w:t>过程</w:t>
      </w:r>
      <w:r>
        <w:rPr>
          <w:rFonts w:ascii="仿宋_GB2312" w:hAnsi="仿宋_GB2312" w:eastAsia="仿宋_GB2312" w:cs="仿宋_GB2312"/>
          <w:sz w:val="32"/>
          <w:szCs w:val="32"/>
        </w:rPr>
        <w:t>情况。</w:t>
      </w:r>
      <w:r>
        <w:rPr>
          <w:rFonts w:hint="eastAsia" w:ascii="仿宋_GB2312" w:hAnsi="仿宋"/>
          <w:szCs w:val="32"/>
        </w:rPr>
        <w:t>将项目全面纳入预算绩效管理，从数量、质量、时效、成本、效益等方面对项目进行评价，建立动态评价调整机制，政策到期、绩效低下的项目要及时清理退出。</w:t>
      </w:r>
    </w:p>
    <w:p>
      <w:pPr>
        <w:adjustRightInd w:val="0"/>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（三）项目产出情况。</w:t>
      </w:r>
      <w:r>
        <w:rPr>
          <w:rFonts w:hint="eastAsia" w:ascii="仿宋_GB2312" w:hAnsi="仿宋"/>
          <w:szCs w:val="32"/>
        </w:rPr>
        <w:t>扎实推进总商会人民调解工作全覆盖，成立总商会人民调解委员会1个，聘请兼职调解员3人，全县已受理调解案件260件，成功调解案件85件。加强与县政法委、县法院等司法机关联动，连续两年邀请专家与企业家座谈交流，现场解决民营企业法律诉求；与县律协联合举办企业复工复产律师公益服务活动。</w:t>
      </w:r>
    </w:p>
    <w:p>
      <w:pPr>
        <w:adjustRightInd w:val="0"/>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（四）项目效</w:t>
      </w:r>
      <w:r>
        <w:rPr>
          <w:rFonts w:hint="eastAsia" w:ascii="仿宋_GB2312" w:hAnsi="仿宋_GB2312" w:eastAsia="仿宋_GB2312" w:cs="仿宋_GB2312"/>
          <w:sz w:val="32"/>
          <w:szCs w:val="32"/>
        </w:rPr>
        <w:t>益</w:t>
      </w:r>
      <w:r>
        <w:rPr>
          <w:rFonts w:ascii="仿宋_GB2312" w:hAnsi="仿宋_GB2312" w:eastAsia="仿宋_GB2312" w:cs="仿宋_GB2312"/>
          <w:sz w:val="32"/>
          <w:szCs w:val="32"/>
        </w:rPr>
        <w:t>情况。</w:t>
      </w:r>
      <w:r>
        <w:rPr>
          <w:rFonts w:hint="eastAsia"/>
        </w:rPr>
        <w:t>新发展阶段对工商联工作提出了更高要求，服务非公经济的能力和水平有待进一步提升；联系走访会员企业需加强深入，增加为企服务的手段和办法；加强对商（协）会指导作用要有更好地充分发挥。</w:t>
      </w:r>
    </w:p>
    <w:p>
      <w:pPr>
        <w:spacing w:line="540" w:lineRule="exact"/>
        <w:ind w:firstLine="600"/>
        <w:rPr>
          <w:rFonts w:hint="eastAsia" w:ascii="黑体" w:hAnsi="黑体" w:eastAsia="黑体" w:cs="黑体"/>
          <w:sz w:val="32"/>
          <w:szCs w:val="32"/>
          <w:lang w:eastAsia="zh-CN"/>
        </w:rPr>
      </w:pPr>
      <w:r>
        <w:rPr>
          <w:rFonts w:ascii="黑体" w:hAnsi="黑体" w:eastAsia="黑体" w:cs="黑体"/>
          <w:sz w:val="32"/>
          <w:szCs w:val="32"/>
        </w:rPr>
        <w:t>五、主要经验及做法</w:t>
      </w:r>
      <w:r>
        <w:rPr>
          <w:rFonts w:hint="eastAsia" w:ascii="黑体" w:hAnsi="黑体" w:eastAsia="黑体" w:cs="黑体"/>
          <w:sz w:val="32"/>
          <w:szCs w:val="32"/>
          <w:lang w:eastAsia="zh-CN"/>
        </w:rPr>
        <w:t>和</w:t>
      </w:r>
      <w:r>
        <w:rPr>
          <w:rFonts w:ascii="黑体" w:hAnsi="黑体" w:eastAsia="黑体" w:cs="黑体"/>
          <w:sz w:val="32"/>
          <w:szCs w:val="32"/>
        </w:rPr>
        <w:t>存在问题及原因分析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sz w:val="32"/>
          <w:szCs w:val="32"/>
        </w:rPr>
      </w:pPr>
      <w:r>
        <w:rPr>
          <w:rFonts w:hint="eastAsia" w:ascii="仿宋_GB2312" w:hAnsi="宋体" w:eastAsia="仿宋_GB2312" w:cs="宋体"/>
          <w:kern w:val="0"/>
          <w:sz w:val="32"/>
          <w:szCs w:val="32"/>
          <w:lang w:val="en-US" w:eastAsia="zh-CN" w:bidi="ar-SA"/>
        </w:rPr>
        <w:t>设置本部门整体绩效目标时要结合单位实际情况，做到依据充分，符合客观实际，与本部门年度工作计划相符，才能提高资金绩效。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算绩效管理制度体系不健全。全面实行预算和绩效管理一体化是提高财政资源配置效率和使用效益的重要举措，今年根据财政部门出台的《宿松县全面实施预算绩效管理实施办法》开展绩效管理工作。但是由于实施时间短，预算绩效管理专业性强等原因，各项制度体系还不完善。</w:t>
      </w:r>
    </w:p>
    <w:p>
      <w:pPr>
        <w:spacing w:line="58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2、绩效管理专业</w:t>
      </w:r>
      <w:r>
        <w:rPr>
          <w:rFonts w:hint="eastAsia" w:ascii="仿宋_GB2312" w:hAnsi="仿宋_GB2312" w:cs="仿宋_GB2312"/>
          <w:sz w:val="32"/>
          <w:szCs w:val="32"/>
          <w:lang w:eastAsia="zh-CN"/>
        </w:rPr>
        <w:t>能力和水平有待进一步提升</w:t>
      </w:r>
      <w:r>
        <w:rPr>
          <w:rFonts w:hint="eastAsia" w:ascii="仿宋_GB2312" w:hAnsi="仿宋_GB2312" w:eastAsia="仿宋_GB2312" w:cs="仿宋_GB2312"/>
          <w:sz w:val="32"/>
          <w:szCs w:val="32"/>
        </w:rPr>
        <w:t>。缺乏专业性很强的技能储备，只能是通过财政部门培训，边工作、边学习、边积累，短期内很多工作只能停留在表面，难以深入推进。</w:t>
      </w:r>
    </w:p>
    <w:p>
      <w:pPr>
        <w:widowControl w:val="0"/>
        <w:spacing w:line="540" w:lineRule="exact"/>
        <w:ind w:firstLine="601"/>
        <w:rPr>
          <w:rFonts w:ascii="黑体" w:hAnsi="黑体" w:eastAsia="黑体" w:cs="黑体"/>
          <w:sz w:val="32"/>
          <w:szCs w:val="32"/>
        </w:rPr>
      </w:pPr>
      <w:r>
        <w:rPr>
          <w:rFonts w:hint="eastAsia" w:ascii="黑体" w:hAnsi="黑体" w:eastAsia="黑体" w:cs="黑体"/>
          <w:sz w:val="32"/>
          <w:szCs w:val="32"/>
          <w:lang w:eastAsia="zh-CN"/>
        </w:rPr>
        <w:t>六</w:t>
      </w:r>
      <w:r>
        <w:rPr>
          <w:rFonts w:ascii="黑体" w:hAnsi="黑体" w:eastAsia="黑体" w:cs="黑体"/>
          <w:sz w:val="32"/>
          <w:szCs w:val="32"/>
        </w:rPr>
        <w:t>、</w:t>
      </w:r>
      <w:r>
        <w:rPr>
          <w:rFonts w:hint="eastAsia" w:ascii="黑体" w:hAnsi="黑体" w:eastAsia="黑体" w:cs="黑体"/>
          <w:sz w:val="32"/>
          <w:szCs w:val="32"/>
        </w:rPr>
        <w:t>有关建议</w:t>
      </w:r>
    </w:p>
    <w:p>
      <w:pPr>
        <w:spacing w:line="440" w:lineRule="exact"/>
        <w:ind w:firstLine="640" w:firstLineChars="200"/>
      </w:pPr>
      <w:r>
        <w:rPr>
          <w:rFonts w:hint="eastAsia"/>
        </w:rPr>
        <w:t>力争做到目标明确、工作细化，资金落到实处。按质按量完成项目工作。</w:t>
      </w:r>
    </w:p>
    <w:p>
      <w:pPr>
        <w:spacing w:line="580" w:lineRule="exact"/>
        <w:ind w:firstLine="640" w:firstLineChars="200"/>
        <w:rPr>
          <w:rFonts w:ascii="仿宋_GB2312" w:hAnsi="仿宋_GB2312" w:eastAsia="仿宋_GB2312" w:cs="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19F96"/>
    <w:multiLevelType w:val="singleLevel"/>
    <w:tmpl w:val="65019F96"/>
    <w:lvl w:ilvl="0" w:tentative="0">
      <w:start w:val="1"/>
      <w:numFmt w:val="chineseCounting"/>
      <w:suff w:val="nothing"/>
      <w:lvlText w:val="（%1）"/>
      <w:lvlJc w:val="left"/>
      <w:rPr>
        <w:rFonts w:hint="eastAsia"/>
      </w:rPr>
    </w:lvl>
  </w:abstractNum>
  <w:abstractNum w:abstractNumId="1">
    <w:nsid w:val="6B4CBCF5"/>
    <w:multiLevelType w:val="singleLevel"/>
    <w:tmpl w:val="6B4CBCF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lZjE1YjVlMDQyZWQ2YTg2OTMwNTQ3YTFlMWZmNDYifQ=="/>
    <w:docVar w:name="KSO_WPS_MARK_KEY" w:val="ae7f0248-45d0-4066-a561-d4c1463c779b"/>
  </w:docVars>
  <w:rsids>
    <w:rsidRoot w:val="00000000"/>
    <w:rsid w:val="039C3507"/>
    <w:rsid w:val="0A1A4EC1"/>
    <w:rsid w:val="124B50CA"/>
    <w:rsid w:val="12F02220"/>
    <w:rsid w:val="2EB35212"/>
    <w:rsid w:val="36B82E98"/>
    <w:rsid w:val="4A372155"/>
    <w:rsid w:val="4C8D413E"/>
    <w:rsid w:val="70847A5A"/>
    <w:rsid w:val="70A3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2366</Words>
  <Characters>2511</Characters>
  <Lines>0</Lines>
  <Paragraphs>0</Paragraphs>
  <TotalTime>5</TotalTime>
  <ScaleCrop>false</ScaleCrop>
  <LinksUpToDate>false</LinksUpToDate>
  <CharactersWithSpaces>2542</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2023-09-10T14:39:00Z</dcterms:created>
  <dc:creator>lenovo</dc:creator>
  <cp:lastModifiedBy>Miki</cp:lastModifiedBy>
  <dcterms:modified xsi:type="dcterms:W3CDTF">2024-01-08T02:14:24Z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0B8B3C192CE34C35B0403AABD6B9213F_12</vt:lpwstr>
  </property>
</Properties>
</file>